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D9" w:rsidRPr="00A00448" w:rsidRDefault="00A74FD9" w:rsidP="00A74FD9">
      <w:pPr>
        <w:spacing w:after="0" w:line="300" w:lineRule="exact"/>
        <w:rPr>
          <w:rFonts w:ascii="Arial" w:hAnsi="Arial" w:cs="Arial"/>
          <w:sz w:val="20"/>
          <w:szCs w:val="20"/>
        </w:rPr>
      </w:pPr>
      <w:r>
        <w:rPr>
          <w:rFonts w:ascii="Arial" w:hAnsi="Arial"/>
          <w:sz w:val="20"/>
          <w:szCs w:val="20"/>
        </w:rPr>
        <w:t>Medienservice Travail.Suisse – Ausgabe vom 25. März 2019</w:t>
      </w:r>
    </w:p>
    <w:p w:rsidR="00A74FD9" w:rsidRDefault="00A74FD9" w:rsidP="00A74FD9">
      <w:pPr>
        <w:spacing w:after="0" w:line="300" w:lineRule="exact"/>
        <w:rPr>
          <w:rFonts w:ascii="Arial" w:hAnsi="Arial" w:cs="Arial"/>
          <w:b/>
          <w:sz w:val="20"/>
          <w:szCs w:val="20"/>
        </w:rPr>
      </w:pPr>
    </w:p>
    <w:p w:rsidR="00A74FD9" w:rsidRDefault="00A74FD9" w:rsidP="00A74FD9">
      <w:pPr>
        <w:spacing w:after="0" w:line="300" w:lineRule="exact"/>
        <w:rPr>
          <w:rFonts w:ascii="Arial" w:hAnsi="Arial" w:cs="Arial"/>
          <w:b/>
          <w:sz w:val="20"/>
          <w:szCs w:val="20"/>
        </w:rPr>
      </w:pPr>
    </w:p>
    <w:p w:rsidR="00A74FD9" w:rsidRDefault="00A74FD9" w:rsidP="00A74FD9">
      <w:pPr>
        <w:spacing w:after="0" w:line="300" w:lineRule="exact"/>
        <w:rPr>
          <w:rFonts w:ascii="Arial" w:hAnsi="Arial" w:cs="Arial"/>
          <w:b/>
          <w:sz w:val="20"/>
          <w:szCs w:val="20"/>
        </w:rPr>
      </w:pPr>
    </w:p>
    <w:p w:rsidR="00F87F76" w:rsidRDefault="00F87F76" w:rsidP="00A74FD9">
      <w:pPr>
        <w:spacing w:after="0" w:line="300" w:lineRule="exact"/>
        <w:rPr>
          <w:rFonts w:ascii="Arial" w:hAnsi="Arial" w:cs="Arial"/>
          <w:b/>
          <w:sz w:val="20"/>
          <w:szCs w:val="20"/>
        </w:rPr>
      </w:pPr>
    </w:p>
    <w:p w:rsidR="00610A45" w:rsidRPr="00A74FD9" w:rsidRDefault="00F87F76" w:rsidP="00A74FD9">
      <w:pPr>
        <w:spacing w:after="0" w:line="300" w:lineRule="exact"/>
        <w:rPr>
          <w:rFonts w:ascii="Arial" w:hAnsi="Arial" w:cs="Arial"/>
          <w:b/>
          <w:sz w:val="30"/>
          <w:szCs w:val="30"/>
        </w:rPr>
      </w:pPr>
      <w:r>
        <w:rPr>
          <w:rFonts w:ascii="Arial" w:hAnsi="Arial" w:cs="Arial"/>
          <w:b/>
          <w:sz w:val="30"/>
          <w:szCs w:val="30"/>
        </w:rPr>
        <w:t>Ältere Arbeitnehmende geraten immer stärker unter Druck</w:t>
      </w:r>
    </w:p>
    <w:p w:rsidR="00A74FD9" w:rsidRDefault="00A74FD9" w:rsidP="00A74FD9">
      <w:pPr>
        <w:spacing w:after="0" w:line="300" w:lineRule="exact"/>
        <w:rPr>
          <w:rFonts w:ascii="Arial" w:hAnsi="Arial" w:cs="Arial"/>
          <w:b/>
          <w:sz w:val="20"/>
          <w:szCs w:val="20"/>
        </w:rPr>
      </w:pPr>
    </w:p>
    <w:p w:rsidR="00DB7E85" w:rsidRDefault="00720646" w:rsidP="00A74FD9">
      <w:pPr>
        <w:spacing w:after="0" w:line="300" w:lineRule="exact"/>
        <w:rPr>
          <w:rFonts w:ascii="Arial" w:hAnsi="Arial" w:cs="Arial"/>
          <w:b/>
          <w:sz w:val="20"/>
          <w:szCs w:val="20"/>
        </w:rPr>
      </w:pPr>
      <w:r w:rsidRPr="00A74FD9">
        <w:rPr>
          <w:rFonts w:ascii="Arial" w:hAnsi="Arial" w:cs="Arial"/>
          <w:b/>
          <w:sz w:val="20"/>
          <w:szCs w:val="20"/>
        </w:rPr>
        <w:t>Die Probleme der älteren Arbeitnehmenden in der Arbeitswelt haben in den letzten Jahren zugenommen. Dies zeigt sich an steigenden Zahlen bei den Arbeitslosen und den Ausgesteuerten</w:t>
      </w:r>
      <w:r w:rsidR="00DD6538">
        <w:rPr>
          <w:rFonts w:ascii="Arial" w:hAnsi="Arial" w:cs="Arial"/>
          <w:b/>
          <w:sz w:val="20"/>
          <w:szCs w:val="20"/>
        </w:rPr>
        <w:t>.</w:t>
      </w:r>
      <w:r w:rsidRPr="00A74FD9">
        <w:rPr>
          <w:rFonts w:ascii="Arial" w:hAnsi="Arial" w:cs="Arial"/>
          <w:b/>
          <w:sz w:val="20"/>
          <w:szCs w:val="20"/>
        </w:rPr>
        <w:t xml:space="preserve"> Travail.Suisse</w:t>
      </w:r>
      <w:r w:rsidR="00DD6538">
        <w:rPr>
          <w:rFonts w:ascii="Arial" w:hAnsi="Arial" w:cs="Arial"/>
          <w:b/>
          <w:sz w:val="20"/>
          <w:szCs w:val="20"/>
        </w:rPr>
        <w:t>, der unabhängige Dachverband der Arbeitnehmenden,</w:t>
      </w:r>
      <w:r w:rsidRPr="00A74FD9">
        <w:rPr>
          <w:rFonts w:ascii="Arial" w:hAnsi="Arial" w:cs="Arial"/>
          <w:b/>
          <w:sz w:val="20"/>
          <w:szCs w:val="20"/>
        </w:rPr>
        <w:t xml:space="preserve"> fordert einerseits eine gute Weiterbildungspolitik, um die Arbeitsmarktchancen der ältere</w:t>
      </w:r>
      <w:r w:rsidR="00DD6538">
        <w:rPr>
          <w:rFonts w:ascii="Arial" w:hAnsi="Arial" w:cs="Arial"/>
          <w:b/>
          <w:sz w:val="20"/>
          <w:szCs w:val="20"/>
        </w:rPr>
        <w:t>n</w:t>
      </w:r>
      <w:r w:rsidRPr="00A74FD9">
        <w:rPr>
          <w:rFonts w:ascii="Arial" w:hAnsi="Arial" w:cs="Arial"/>
          <w:b/>
          <w:sz w:val="20"/>
          <w:szCs w:val="20"/>
        </w:rPr>
        <w:t xml:space="preserve"> Arbeitnehmenden zu stärken. Andererseits droht bei einer Aussteuerung wenige Jahre vor dem ordentlichen Rentenalter der Weg in die Altersarmut – </w:t>
      </w:r>
      <w:r w:rsidR="00DD6538">
        <w:rPr>
          <w:rFonts w:ascii="Arial" w:hAnsi="Arial" w:cs="Arial"/>
          <w:b/>
          <w:sz w:val="20"/>
          <w:szCs w:val="20"/>
        </w:rPr>
        <w:t>das muss geändert werden</w:t>
      </w:r>
      <w:r w:rsidRPr="00A74FD9">
        <w:rPr>
          <w:rFonts w:ascii="Arial" w:hAnsi="Arial" w:cs="Arial"/>
          <w:b/>
          <w:sz w:val="20"/>
          <w:szCs w:val="20"/>
        </w:rPr>
        <w:t>.</w:t>
      </w:r>
    </w:p>
    <w:p w:rsidR="00A74FD9" w:rsidRDefault="00A74FD9" w:rsidP="00A74FD9">
      <w:pPr>
        <w:spacing w:after="0" w:line="300" w:lineRule="exact"/>
        <w:rPr>
          <w:rFonts w:ascii="Arial" w:hAnsi="Arial" w:cs="Arial"/>
          <w:b/>
          <w:sz w:val="20"/>
          <w:szCs w:val="20"/>
        </w:rPr>
      </w:pPr>
    </w:p>
    <w:p w:rsidR="003110AF" w:rsidRPr="003110AF" w:rsidRDefault="003110AF" w:rsidP="00A74FD9">
      <w:pPr>
        <w:spacing w:after="0" w:line="300" w:lineRule="exact"/>
        <w:rPr>
          <w:rFonts w:ascii="Arial" w:hAnsi="Arial" w:cs="Arial"/>
          <w:i/>
          <w:sz w:val="20"/>
          <w:szCs w:val="20"/>
        </w:rPr>
      </w:pPr>
      <w:r w:rsidRPr="003110AF">
        <w:rPr>
          <w:rFonts w:ascii="Arial" w:hAnsi="Arial" w:cs="Arial"/>
          <w:i/>
          <w:sz w:val="20"/>
          <w:szCs w:val="20"/>
        </w:rPr>
        <w:t>Gabriel Fischer, Leiter Wirtschaftspolitik Travail.Suisse</w:t>
      </w:r>
    </w:p>
    <w:p w:rsidR="003110AF" w:rsidRPr="00A74FD9" w:rsidRDefault="003110AF" w:rsidP="00A74FD9">
      <w:pPr>
        <w:spacing w:after="0" w:line="300" w:lineRule="exact"/>
        <w:rPr>
          <w:rFonts w:ascii="Arial" w:hAnsi="Arial" w:cs="Arial"/>
          <w:b/>
          <w:sz w:val="20"/>
          <w:szCs w:val="20"/>
        </w:rPr>
      </w:pPr>
    </w:p>
    <w:p w:rsidR="00AB3F40" w:rsidRPr="00A74FD9" w:rsidRDefault="00D03D3F" w:rsidP="00A74FD9">
      <w:pPr>
        <w:spacing w:after="0" w:line="300" w:lineRule="exact"/>
        <w:rPr>
          <w:rFonts w:ascii="Arial" w:hAnsi="Arial" w:cs="Arial"/>
          <w:sz w:val="20"/>
          <w:szCs w:val="20"/>
        </w:rPr>
      </w:pPr>
      <w:r w:rsidRPr="00A74FD9">
        <w:rPr>
          <w:rFonts w:ascii="Arial" w:hAnsi="Arial" w:cs="Arial"/>
          <w:sz w:val="20"/>
          <w:szCs w:val="20"/>
        </w:rPr>
        <w:t xml:space="preserve">Die Schwierigkeiten der älteren Arbeitnehmenden auf dem Arbeitsmarkt haben sich in den letzten Jahren akzentuiert. Von der ehemals überdurchschnittlichen Arbeitsmarktpartizipation ist nichts mehr übrig und die Anzahl Aussteuerungen hat massiv zugenommen. Für die Betroffenen droht damit </w:t>
      </w:r>
      <w:r w:rsidR="00DD6538">
        <w:rPr>
          <w:rFonts w:ascii="Arial" w:hAnsi="Arial" w:cs="Arial"/>
          <w:sz w:val="20"/>
          <w:szCs w:val="20"/>
        </w:rPr>
        <w:t>trotz langer</w:t>
      </w:r>
      <w:r w:rsidRPr="00A74FD9">
        <w:rPr>
          <w:rFonts w:ascii="Arial" w:hAnsi="Arial" w:cs="Arial"/>
          <w:sz w:val="20"/>
          <w:szCs w:val="20"/>
        </w:rPr>
        <w:t xml:space="preserve"> Erwerbskarriere die Altersarmut.</w:t>
      </w:r>
    </w:p>
    <w:p w:rsidR="00D03D3F" w:rsidRDefault="00D03D3F" w:rsidP="00A74FD9">
      <w:pPr>
        <w:spacing w:after="0" w:line="300" w:lineRule="exact"/>
        <w:rPr>
          <w:rFonts w:ascii="Arial" w:hAnsi="Arial" w:cs="Arial"/>
          <w:sz w:val="20"/>
          <w:szCs w:val="20"/>
        </w:rPr>
      </w:pPr>
    </w:p>
    <w:p w:rsidR="00A74FD9" w:rsidRPr="00A74FD9" w:rsidRDefault="00A74FD9" w:rsidP="00A74FD9">
      <w:pPr>
        <w:spacing w:after="0" w:line="300" w:lineRule="exact"/>
        <w:rPr>
          <w:rFonts w:ascii="Arial" w:hAnsi="Arial" w:cs="Arial"/>
          <w:sz w:val="20"/>
          <w:szCs w:val="20"/>
        </w:rPr>
      </w:pPr>
    </w:p>
    <w:p w:rsidR="00A52256" w:rsidRDefault="00F53B92" w:rsidP="00A74FD9">
      <w:pPr>
        <w:spacing w:after="0" w:line="300" w:lineRule="exact"/>
        <w:rPr>
          <w:rFonts w:ascii="Arial" w:hAnsi="Arial" w:cs="Arial"/>
          <w:b/>
          <w:sz w:val="20"/>
          <w:szCs w:val="20"/>
        </w:rPr>
      </w:pPr>
      <w:r w:rsidRPr="00A74FD9">
        <w:rPr>
          <w:rFonts w:ascii="Arial" w:hAnsi="Arial" w:cs="Arial"/>
          <w:b/>
          <w:sz w:val="20"/>
          <w:szCs w:val="20"/>
        </w:rPr>
        <w:t>Schlechtere Chancen auf dem Arbeitsmarkt</w:t>
      </w:r>
    </w:p>
    <w:p w:rsidR="00A74FD9" w:rsidRPr="00A74FD9" w:rsidRDefault="00A74FD9" w:rsidP="00A74FD9">
      <w:pPr>
        <w:spacing w:after="0" w:line="300" w:lineRule="exact"/>
        <w:rPr>
          <w:rFonts w:ascii="Arial" w:hAnsi="Arial" w:cs="Arial"/>
          <w:b/>
          <w:sz w:val="20"/>
          <w:szCs w:val="20"/>
        </w:rPr>
      </w:pPr>
    </w:p>
    <w:p w:rsidR="00F53B92" w:rsidRPr="00A74FD9" w:rsidRDefault="008146BF" w:rsidP="00A74FD9">
      <w:pPr>
        <w:spacing w:after="0" w:line="300" w:lineRule="exact"/>
        <w:rPr>
          <w:rFonts w:ascii="Arial" w:hAnsi="Arial" w:cs="Arial"/>
          <w:sz w:val="20"/>
          <w:szCs w:val="20"/>
        </w:rPr>
      </w:pPr>
      <w:r w:rsidRPr="00A74FD9">
        <w:rPr>
          <w:rFonts w:ascii="Arial" w:hAnsi="Arial" w:cs="Arial"/>
          <w:sz w:val="20"/>
          <w:szCs w:val="20"/>
        </w:rPr>
        <w:t>Die gute Wirtschaftslage der letzten Jahre macht sich endlich auch auf dem Arbeitsmarkt bemerkbar – die Arbeitslosenzahlen gehen zurück. Davon profitieren aber nicht alle Alterskategorien im gleichen Ausmass. Seit 2013 ist die Zahl der arbeitslosen Personen über 50</w:t>
      </w:r>
      <w:r w:rsidR="00DD6538">
        <w:rPr>
          <w:rFonts w:ascii="Arial" w:hAnsi="Arial" w:cs="Arial"/>
          <w:sz w:val="20"/>
          <w:szCs w:val="20"/>
        </w:rPr>
        <w:t xml:space="preserve"> Jahren</w:t>
      </w:r>
      <w:r w:rsidRPr="00A74FD9">
        <w:rPr>
          <w:rFonts w:ascii="Arial" w:hAnsi="Arial" w:cs="Arial"/>
          <w:sz w:val="20"/>
          <w:szCs w:val="20"/>
        </w:rPr>
        <w:t xml:space="preserve"> deutlich überdurchschnittlich angestiegen, länger auf hohem Stand verharrt und geht jetzt in der Erholung langsamer zurück als bei den übrigen Alterskategorien</w:t>
      </w:r>
      <w:r w:rsidR="004D7C68" w:rsidRPr="00A74FD9">
        <w:rPr>
          <w:rFonts w:ascii="Arial" w:hAnsi="Arial" w:cs="Arial"/>
          <w:sz w:val="20"/>
          <w:szCs w:val="20"/>
        </w:rPr>
        <w:t>. Während es im letzten Jahr im Vergleich zu 2013 bei den beiden jüngeren Alterskategorien deutlich weniger Arbeitslose gab, sind immer noch mehr Personen 50+ bei</w:t>
      </w:r>
      <w:r w:rsidR="00864029" w:rsidRPr="00A74FD9">
        <w:rPr>
          <w:rFonts w:ascii="Arial" w:hAnsi="Arial" w:cs="Arial"/>
          <w:sz w:val="20"/>
          <w:szCs w:val="20"/>
        </w:rPr>
        <w:t xml:space="preserve"> den regionalen Arbeitsvermittlungen (RAV) gemeldet</w:t>
      </w:r>
      <w:r w:rsidR="004D7C68" w:rsidRPr="00A74FD9">
        <w:rPr>
          <w:rFonts w:ascii="Arial" w:hAnsi="Arial" w:cs="Arial"/>
          <w:sz w:val="20"/>
          <w:szCs w:val="20"/>
        </w:rPr>
        <w:t xml:space="preserve"> </w:t>
      </w:r>
      <w:r w:rsidRPr="00A74FD9">
        <w:rPr>
          <w:rFonts w:ascii="Arial" w:hAnsi="Arial" w:cs="Arial"/>
          <w:sz w:val="20"/>
          <w:szCs w:val="20"/>
        </w:rPr>
        <w:t xml:space="preserve"> (vgl. Grafik 1).</w:t>
      </w:r>
    </w:p>
    <w:p w:rsidR="008146BF" w:rsidRPr="00A74FD9" w:rsidRDefault="008146BF" w:rsidP="00A74FD9">
      <w:pPr>
        <w:spacing w:after="0" w:line="300" w:lineRule="exact"/>
        <w:rPr>
          <w:rFonts w:ascii="Arial" w:hAnsi="Arial" w:cs="Arial"/>
          <w:sz w:val="20"/>
          <w:szCs w:val="20"/>
        </w:rPr>
      </w:pPr>
    </w:p>
    <w:p w:rsidR="008146BF" w:rsidRPr="00A74FD9" w:rsidRDefault="00A74FD9" w:rsidP="00A74FD9">
      <w:pPr>
        <w:spacing w:after="0" w:line="300" w:lineRule="exact"/>
        <w:rPr>
          <w:rFonts w:ascii="Arial" w:hAnsi="Arial" w:cs="Arial"/>
          <w:b/>
          <w:i/>
          <w:sz w:val="20"/>
          <w:szCs w:val="20"/>
        </w:rPr>
      </w:pPr>
      <w:r w:rsidRPr="00A74FD9">
        <w:rPr>
          <w:rFonts w:ascii="Arial" w:hAnsi="Arial" w:cs="Arial"/>
          <w:noProof/>
          <w:sz w:val="20"/>
          <w:szCs w:val="20"/>
          <w:lang w:eastAsia="de-CH"/>
        </w:rPr>
        <w:drawing>
          <wp:anchor distT="0" distB="0" distL="114300" distR="114300" simplePos="0" relativeHeight="251659264" behindDoc="0" locked="0" layoutInCell="1" allowOverlap="1">
            <wp:simplePos x="0" y="0"/>
            <wp:positionH relativeFrom="column">
              <wp:posOffset>-23495</wp:posOffset>
            </wp:positionH>
            <wp:positionV relativeFrom="paragraph">
              <wp:posOffset>443230</wp:posOffset>
            </wp:positionV>
            <wp:extent cx="5040000" cy="2261870"/>
            <wp:effectExtent l="0" t="0" r="8255" b="508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8146BF" w:rsidRPr="00A74FD9">
        <w:rPr>
          <w:rFonts w:ascii="Arial" w:hAnsi="Arial" w:cs="Arial"/>
          <w:b/>
          <w:i/>
          <w:sz w:val="20"/>
          <w:szCs w:val="20"/>
        </w:rPr>
        <w:t>Grafik 1: Veränderung der Zahl arbeitsloser Personen nach Alter 2013-2018 (indexiert</w:t>
      </w:r>
      <w:r w:rsidR="00864029" w:rsidRPr="00A74FD9">
        <w:rPr>
          <w:rFonts w:ascii="Arial" w:hAnsi="Arial" w:cs="Arial"/>
          <w:b/>
          <w:i/>
          <w:sz w:val="20"/>
          <w:szCs w:val="20"/>
        </w:rPr>
        <w:t>;</w:t>
      </w:r>
      <w:r w:rsidR="008146BF" w:rsidRPr="00A74FD9">
        <w:rPr>
          <w:rFonts w:ascii="Arial" w:hAnsi="Arial" w:cs="Arial"/>
          <w:b/>
          <w:i/>
          <w:sz w:val="20"/>
          <w:szCs w:val="20"/>
        </w:rPr>
        <w:t xml:space="preserve"> 2013=100)</w:t>
      </w:r>
    </w:p>
    <w:p w:rsidR="008146BF" w:rsidRPr="00A74FD9" w:rsidRDefault="008146BF" w:rsidP="00A74FD9">
      <w:pPr>
        <w:spacing w:after="0" w:line="300" w:lineRule="exact"/>
        <w:rPr>
          <w:rFonts w:ascii="Arial" w:hAnsi="Arial" w:cs="Arial"/>
          <w:i/>
          <w:sz w:val="20"/>
          <w:szCs w:val="20"/>
        </w:rPr>
      </w:pPr>
      <w:r w:rsidRPr="00A74FD9">
        <w:rPr>
          <w:rFonts w:ascii="Arial" w:hAnsi="Arial" w:cs="Arial"/>
          <w:i/>
          <w:sz w:val="20"/>
          <w:szCs w:val="20"/>
        </w:rPr>
        <w:t xml:space="preserve">Quelle: </w:t>
      </w:r>
      <w:r w:rsidR="00864029" w:rsidRPr="00A74FD9">
        <w:rPr>
          <w:rFonts w:ascii="Arial" w:hAnsi="Arial" w:cs="Arial"/>
          <w:i/>
          <w:sz w:val="20"/>
          <w:szCs w:val="20"/>
        </w:rPr>
        <w:t>AMSTAT; eigene Darstellung</w:t>
      </w:r>
    </w:p>
    <w:p w:rsidR="00622239" w:rsidRPr="00A74FD9" w:rsidRDefault="00622239" w:rsidP="00A74FD9">
      <w:pPr>
        <w:spacing w:after="0" w:line="300" w:lineRule="exact"/>
        <w:rPr>
          <w:rFonts w:ascii="Arial" w:hAnsi="Arial" w:cs="Arial"/>
          <w:sz w:val="20"/>
          <w:szCs w:val="20"/>
        </w:rPr>
      </w:pPr>
      <w:r w:rsidRPr="00A74FD9">
        <w:rPr>
          <w:rFonts w:ascii="Arial" w:hAnsi="Arial" w:cs="Arial"/>
          <w:sz w:val="20"/>
          <w:szCs w:val="20"/>
        </w:rPr>
        <w:lastRenderedPageBreak/>
        <w:t xml:space="preserve">Diese Entwicklung ist </w:t>
      </w:r>
      <w:r w:rsidR="00DD6538">
        <w:rPr>
          <w:rFonts w:ascii="Arial" w:hAnsi="Arial" w:cs="Arial"/>
          <w:sz w:val="20"/>
          <w:szCs w:val="20"/>
        </w:rPr>
        <w:t>einerseits</w:t>
      </w:r>
      <w:r w:rsidR="00DD6538" w:rsidRPr="00A74FD9">
        <w:rPr>
          <w:rFonts w:ascii="Arial" w:hAnsi="Arial" w:cs="Arial"/>
          <w:sz w:val="20"/>
          <w:szCs w:val="20"/>
        </w:rPr>
        <w:t xml:space="preserve"> </w:t>
      </w:r>
      <w:r w:rsidRPr="00A74FD9">
        <w:rPr>
          <w:rFonts w:ascii="Arial" w:hAnsi="Arial" w:cs="Arial"/>
          <w:sz w:val="20"/>
          <w:szCs w:val="20"/>
        </w:rPr>
        <w:t xml:space="preserve">ein Effekt der demographischen Entwicklung. Auf der anderen Seite müssen aber auch die Aussteuerungen berücksichtigt werden. </w:t>
      </w:r>
      <w:r w:rsidR="004D7C68" w:rsidRPr="00A74FD9">
        <w:rPr>
          <w:rFonts w:ascii="Arial" w:hAnsi="Arial" w:cs="Arial"/>
          <w:sz w:val="20"/>
          <w:szCs w:val="20"/>
        </w:rPr>
        <w:t xml:space="preserve">Dabei zeigt sich insbesondere bei den älteren Arbeitslosen eine deutlich überproportionale </w:t>
      </w:r>
      <w:r w:rsidR="00DD6538">
        <w:rPr>
          <w:rFonts w:ascii="Arial" w:hAnsi="Arial" w:cs="Arial"/>
          <w:sz w:val="20"/>
          <w:szCs w:val="20"/>
        </w:rPr>
        <w:t xml:space="preserve">Anzahl bei den </w:t>
      </w:r>
      <w:r w:rsidR="004D7C68" w:rsidRPr="00A74FD9">
        <w:rPr>
          <w:rFonts w:ascii="Arial" w:hAnsi="Arial" w:cs="Arial"/>
          <w:sz w:val="20"/>
          <w:szCs w:val="20"/>
        </w:rPr>
        <w:t>Aussteuerung</w:t>
      </w:r>
      <w:r w:rsidR="00DD6538">
        <w:rPr>
          <w:rFonts w:ascii="Arial" w:hAnsi="Arial" w:cs="Arial"/>
          <w:sz w:val="20"/>
          <w:szCs w:val="20"/>
        </w:rPr>
        <w:t>en</w:t>
      </w:r>
      <w:r w:rsidR="004D7C68" w:rsidRPr="00A74FD9">
        <w:rPr>
          <w:rFonts w:ascii="Arial" w:hAnsi="Arial" w:cs="Arial"/>
          <w:sz w:val="20"/>
          <w:szCs w:val="20"/>
        </w:rPr>
        <w:t xml:space="preserve"> – besonders ausgeprägt seit 2011 (vgl. Grafik</w:t>
      </w:r>
      <w:r w:rsidR="00FE161C" w:rsidRPr="00A74FD9">
        <w:rPr>
          <w:rFonts w:ascii="Arial" w:hAnsi="Arial" w:cs="Arial"/>
          <w:sz w:val="20"/>
          <w:szCs w:val="20"/>
        </w:rPr>
        <w:t xml:space="preserve"> </w:t>
      </w:r>
      <w:r w:rsidR="004D7C68" w:rsidRPr="00A74FD9">
        <w:rPr>
          <w:rFonts w:ascii="Arial" w:hAnsi="Arial" w:cs="Arial"/>
          <w:sz w:val="20"/>
          <w:szCs w:val="20"/>
        </w:rPr>
        <w:t>2).</w:t>
      </w:r>
    </w:p>
    <w:p w:rsidR="00864029" w:rsidRPr="00A74FD9" w:rsidRDefault="00864029" w:rsidP="00A74FD9">
      <w:pPr>
        <w:spacing w:after="0" w:line="300" w:lineRule="exact"/>
        <w:rPr>
          <w:rFonts w:ascii="Arial" w:hAnsi="Arial" w:cs="Arial"/>
          <w:sz w:val="20"/>
          <w:szCs w:val="20"/>
        </w:rPr>
      </w:pPr>
    </w:p>
    <w:p w:rsidR="00864029" w:rsidRPr="00A74FD9" w:rsidRDefault="00547E16" w:rsidP="00A74FD9">
      <w:pPr>
        <w:spacing w:after="0" w:line="300" w:lineRule="exact"/>
        <w:rPr>
          <w:rFonts w:ascii="Arial" w:hAnsi="Arial" w:cs="Arial"/>
          <w:b/>
          <w:i/>
          <w:sz w:val="20"/>
          <w:szCs w:val="20"/>
        </w:rPr>
      </w:pPr>
      <w:r w:rsidRPr="00A74FD9">
        <w:rPr>
          <w:rFonts w:ascii="Arial" w:hAnsi="Arial" w:cs="Arial"/>
          <w:noProof/>
          <w:sz w:val="20"/>
          <w:szCs w:val="20"/>
          <w:lang w:eastAsia="de-CH"/>
        </w:rPr>
        <w:drawing>
          <wp:anchor distT="0" distB="0" distL="114300" distR="114300" simplePos="0" relativeHeight="251660288" behindDoc="0" locked="0" layoutInCell="1" allowOverlap="1">
            <wp:simplePos x="0" y="0"/>
            <wp:positionH relativeFrom="margin">
              <wp:posOffset>9525</wp:posOffset>
            </wp:positionH>
            <wp:positionV relativeFrom="paragraph">
              <wp:posOffset>247650</wp:posOffset>
            </wp:positionV>
            <wp:extent cx="5040000" cy="2520000"/>
            <wp:effectExtent l="0" t="0" r="8255" b="13970"/>
            <wp:wrapTopAndBottom/>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864029" w:rsidRPr="00A74FD9">
        <w:rPr>
          <w:rFonts w:ascii="Arial" w:hAnsi="Arial" w:cs="Arial"/>
          <w:b/>
          <w:i/>
          <w:sz w:val="20"/>
          <w:szCs w:val="20"/>
        </w:rPr>
        <w:t>Grafik 2: Veränderung der Sozialhilfequoten nach Alter 2005-2017 (indexiert; 2005=100)</w:t>
      </w:r>
    </w:p>
    <w:p w:rsidR="00864029" w:rsidRPr="00547E16" w:rsidRDefault="00864029" w:rsidP="00A74FD9">
      <w:pPr>
        <w:spacing w:after="0" w:line="300" w:lineRule="exact"/>
        <w:rPr>
          <w:rFonts w:ascii="Arial" w:hAnsi="Arial" w:cs="Arial"/>
          <w:i/>
          <w:sz w:val="20"/>
          <w:szCs w:val="20"/>
        </w:rPr>
      </w:pPr>
      <w:r w:rsidRPr="00547E16">
        <w:rPr>
          <w:rFonts w:ascii="Arial" w:hAnsi="Arial" w:cs="Arial"/>
          <w:i/>
          <w:sz w:val="20"/>
          <w:szCs w:val="20"/>
        </w:rPr>
        <w:t>Quelle: BFS, Sozialhilfestatistik; eigene Darstellung</w:t>
      </w:r>
    </w:p>
    <w:p w:rsidR="00864029" w:rsidRPr="00A74FD9" w:rsidRDefault="00864029" w:rsidP="00A74FD9">
      <w:pPr>
        <w:spacing w:after="0" w:line="300" w:lineRule="exact"/>
        <w:rPr>
          <w:rFonts w:ascii="Arial" w:hAnsi="Arial" w:cs="Arial"/>
          <w:b/>
          <w:sz w:val="20"/>
          <w:szCs w:val="20"/>
        </w:rPr>
      </w:pPr>
    </w:p>
    <w:p w:rsidR="00D63691" w:rsidRPr="00A74FD9" w:rsidRDefault="00D63691" w:rsidP="00A74FD9">
      <w:pPr>
        <w:spacing w:after="0" w:line="300" w:lineRule="exact"/>
        <w:rPr>
          <w:rFonts w:ascii="Arial" w:hAnsi="Arial" w:cs="Arial"/>
          <w:sz w:val="20"/>
          <w:szCs w:val="20"/>
        </w:rPr>
      </w:pPr>
      <w:r w:rsidRPr="00A74FD9">
        <w:rPr>
          <w:rFonts w:ascii="Arial" w:hAnsi="Arial" w:cs="Arial"/>
          <w:sz w:val="20"/>
          <w:szCs w:val="20"/>
        </w:rPr>
        <w:t>Während sich für die meisten Alterskategorien von 2005 bis 2017 konstante oder nur leicht steigende Sozialhilfequoten feststellen lassen, ist die Zunahme bei den 56-64-</w:t>
      </w:r>
      <w:r w:rsidR="00DD6538">
        <w:rPr>
          <w:rFonts w:ascii="Arial" w:hAnsi="Arial" w:cs="Arial"/>
          <w:sz w:val="20"/>
          <w:szCs w:val="20"/>
        </w:rPr>
        <w:t>j</w:t>
      </w:r>
      <w:r w:rsidRPr="00A74FD9">
        <w:rPr>
          <w:rFonts w:ascii="Arial" w:hAnsi="Arial" w:cs="Arial"/>
          <w:sz w:val="20"/>
          <w:szCs w:val="20"/>
        </w:rPr>
        <w:t>ährigen frappant. Insbesondere seit 2011 steigt die Sozialhilfequote bei den älteren Personen stark überdurchschnittlich. Insgesamt hat sich die Zahl der sozialhilfebeziehenden 56-64-</w:t>
      </w:r>
      <w:r w:rsidR="00DD6538">
        <w:rPr>
          <w:rFonts w:ascii="Arial" w:hAnsi="Arial" w:cs="Arial"/>
          <w:sz w:val="20"/>
          <w:szCs w:val="20"/>
        </w:rPr>
        <w:t>j</w:t>
      </w:r>
      <w:r w:rsidRPr="00A74FD9">
        <w:rPr>
          <w:rFonts w:ascii="Arial" w:hAnsi="Arial" w:cs="Arial"/>
          <w:sz w:val="20"/>
          <w:szCs w:val="20"/>
        </w:rPr>
        <w:t>ährigen in dieser Zeitspanne auf über 30‘000 Personen verdoppelt.</w:t>
      </w:r>
    </w:p>
    <w:p w:rsidR="00D63691" w:rsidRPr="00A74FD9" w:rsidRDefault="00D63691" w:rsidP="00A74FD9">
      <w:pPr>
        <w:spacing w:after="0" w:line="300" w:lineRule="exact"/>
        <w:rPr>
          <w:rFonts w:ascii="Arial" w:hAnsi="Arial" w:cs="Arial"/>
          <w:sz w:val="20"/>
          <w:szCs w:val="20"/>
        </w:rPr>
      </w:pPr>
    </w:p>
    <w:p w:rsidR="00D63691" w:rsidRPr="00A74FD9" w:rsidRDefault="00D63691" w:rsidP="00A74FD9">
      <w:pPr>
        <w:spacing w:after="0" w:line="300" w:lineRule="exact"/>
        <w:rPr>
          <w:rFonts w:ascii="Arial" w:hAnsi="Arial" w:cs="Arial"/>
          <w:sz w:val="20"/>
          <w:szCs w:val="20"/>
        </w:rPr>
      </w:pPr>
      <w:r w:rsidRPr="00A74FD9">
        <w:rPr>
          <w:rFonts w:ascii="Arial" w:hAnsi="Arial" w:cs="Arial"/>
          <w:sz w:val="20"/>
          <w:szCs w:val="20"/>
        </w:rPr>
        <w:t xml:space="preserve">Auch aus dem </w:t>
      </w:r>
      <w:r w:rsidRPr="00A74FD9">
        <w:rPr>
          <w:rFonts w:ascii="Arial" w:hAnsi="Arial" w:cs="Arial"/>
          <w:i/>
          <w:sz w:val="20"/>
          <w:szCs w:val="20"/>
        </w:rPr>
        <w:t xml:space="preserve">«Barometer Gute Arbeit» </w:t>
      </w:r>
      <w:r w:rsidRPr="00A74FD9">
        <w:rPr>
          <w:rFonts w:ascii="Arial" w:hAnsi="Arial" w:cs="Arial"/>
          <w:sz w:val="20"/>
          <w:szCs w:val="20"/>
        </w:rPr>
        <w:t>von Travail.Suisse sind Anhaltspunkte für Schwierigkeiten der älteren Arbeitnehmenden ersichtlich. So beurteilen ältere Arbeitnehmende ihre Arbeitsmarktfähigkei</w:t>
      </w:r>
      <w:r w:rsidR="00B104A3" w:rsidRPr="00A74FD9">
        <w:rPr>
          <w:rFonts w:ascii="Arial" w:hAnsi="Arial" w:cs="Arial"/>
          <w:sz w:val="20"/>
          <w:szCs w:val="20"/>
        </w:rPr>
        <w:t>t deutlich negativer</w:t>
      </w:r>
      <w:r w:rsidRPr="00A74FD9">
        <w:rPr>
          <w:rFonts w:ascii="Arial" w:hAnsi="Arial" w:cs="Arial"/>
          <w:sz w:val="20"/>
          <w:szCs w:val="20"/>
        </w:rPr>
        <w:t xml:space="preserve"> als ihre jüngeren Kolleg/innen. Konkret steigt der Anteil der Arbeitnehmenden, </w:t>
      </w:r>
      <w:r w:rsidR="00DD6538">
        <w:rPr>
          <w:rFonts w:ascii="Arial" w:hAnsi="Arial" w:cs="Arial"/>
          <w:sz w:val="20"/>
          <w:szCs w:val="20"/>
        </w:rPr>
        <w:t>der</w:t>
      </w:r>
      <w:r w:rsidR="00DD6538" w:rsidRPr="00A74FD9">
        <w:rPr>
          <w:rFonts w:ascii="Arial" w:hAnsi="Arial" w:cs="Arial"/>
          <w:sz w:val="20"/>
          <w:szCs w:val="20"/>
        </w:rPr>
        <w:t xml:space="preserve"> </w:t>
      </w:r>
      <w:r w:rsidRPr="00A74FD9">
        <w:rPr>
          <w:rFonts w:ascii="Arial" w:hAnsi="Arial" w:cs="Arial"/>
          <w:sz w:val="20"/>
          <w:szCs w:val="20"/>
        </w:rPr>
        <w:t xml:space="preserve">bei einem freiwilligen oder unfreiwilligen Arbeitsplatzverlust </w:t>
      </w:r>
      <w:r w:rsidR="00B104A3" w:rsidRPr="00A74FD9">
        <w:rPr>
          <w:rFonts w:ascii="Arial" w:hAnsi="Arial" w:cs="Arial"/>
          <w:sz w:val="20"/>
          <w:szCs w:val="20"/>
        </w:rPr>
        <w:t>grosse Schwierigkeiten bei der Suche nach</w:t>
      </w:r>
      <w:r w:rsidRPr="00A74FD9">
        <w:rPr>
          <w:rFonts w:ascii="Arial" w:hAnsi="Arial" w:cs="Arial"/>
          <w:sz w:val="20"/>
          <w:szCs w:val="20"/>
        </w:rPr>
        <w:t xml:space="preserve"> eine</w:t>
      </w:r>
      <w:r w:rsidR="00B104A3" w:rsidRPr="00A74FD9">
        <w:rPr>
          <w:rFonts w:ascii="Arial" w:hAnsi="Arial" w:cs="Arial"/>
          <w:sz w:val="20"/>
          <w:szCs w:val="20"/>
        </w:rPr>
        <w:t>r</w:t>
      </w:r>
      <w:r w:rsidRPr="00A74FD9">
        <w:rPr>
          <w:rFonts w:ascii="Arial" w:hAnsi="Arial" w:cs="Arial"/>
          <w:sz w:val="20"/>
          <w:szCs w:val="20"/>
        </w:rPr>
        <w:t xml:space="preserve"> vergleichbare</w:t>
      </w:r>
      <w:r w:rsidR="00B104A3" w:rsidRPr="00A74FD9">
        <w:rPr>
          <w:rFonts w:ascii="Arial" w:hAnsi="Arial" w:cs="Arial"/>
          <w:sz w:val="20"/>
          <w:szCs w:val="20"/>
        </w:rPr>
        <w:t>n</w:t>
      </w:r>
      <w:r w:rsidRPr="00A74FD9">
        <w:rPr>
          <w:rFonts w:ascii="Arial" w:hAnsi="Arial" w:cs="Arial"/>
          <w:sz w:val="20"/>
          <w:szCs w:val="20"/>
        </w:rPr>
        <w:t xml:space="preserve"> Stelle </w:t>
      </w:r>
      <w:r w:rsidR="00B104A3" w:rsidRPr="00A74FD9">
        <w:rPr>
          <w:rFonts w:ascii="Arial" w:hAnsi="Arial" w:cs="Arial"/>
          <w:sz w:val="20"/>
          <w:szCs w:val="20"/>
        </w:rPr>
        <w:t>erwartet</w:t>
      </w:r>
      <w:r w:rsidR="00DD6538">
        <w:rPr>
          <w:rFonts w:ascii="Arial" w:hAnsi="Arial" w:cs="Arial"/>
          <w:sz w:val="20"/>
          <w:szCs w:val="20"/>
        </w:rPr>
        <w:t>,</w:t>
      </w:r>
      <w:r w:rsidRPr="00A74FD9">
        <w:rPr>
          <w:rFonts w:ascii="Arial" w:hAnsi="Arial" w:cs="Arial"/>
          <w:sz w:val="20"/>
          <w:szCs w:val="20"/>
        </w:rPr>
        <w:t xml:space="preserve"> mit zunehmenden Alter markant an (vgl. Grafik 3).</w:t>
      </w:r>
    </w:p>
    <w:p w:rsidR="00D03D3F" w:rsidRPr="00A74FD9" w:rsidRDefault="00D03D3F" w:rsidP="00A74FD9">
      <w:pPr>
        <w:spacing w:after="0" w:line="300" w:lineRule="exact"/>
        <w:rPr>
          <w:rFonts w:ascii="Arial" w:hAnsi="Arial" w:cs="Arial"/>
          <w:sz w:val="20"/>
          <w:szCs w:val="20"/>
        </w:rPr>
      </w:pPr>
    </w:p>
    <w:p w:rsidR="00D63691" w:rsidRPr="00A74FD9" w:rsidRDefault="00D63691" w:rsidP="00A74FD9">
      <w:pPr>
        <w:spacing w:after="0" w:line="300" w:lineRule="exact"/>
        <w:rPr>
          <w:rFonts w:ascii="Arial" w:hAnsi="Arial" w:cs="Arial"/>
          <w:b/>
          <w:i/>
          <w:sz w:val="20"/>
          <w:szCs w:val="20"/>
        </w:rPr>
      </w:pPr>
      <w:r w:rsidRPr="00A74FD9">
        <w:rPr>
          <w:rFonts w:ascii="Arial" w:hAnsi="Arial" w:cs="Arial"/>
          <w:noProof/>
          <w:sz w:val="20"/>
          <w:szCs w:val="20"/>
          <w:lang w:eastAsia="de-CH"/>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244475</wp:posOffset>
            </wp:positionV>
            <wp:extent cx="5040000" cy="2520000"/>
            <wp:effectExtent l="0" t="0" r="8255" b="13970"/>
            <wp:wrapTopAndBottom/>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Pr="00A74FD9">
        <w:rPr>
          <w:rFonts w:ascii="Arial" w:hAnsi="Arial" w:cs="Arial"/>
          <w:b/>
          <w:i/>
          <w:sz w:val="20"/>
          <w:szCs w:val="20"/>
        </w:rPr>
        <w:t xml:space="preserve">Grafik 3: Wahrgenommene Einschränkungen der Arbeitsmarktfähigkeit nach Alter 2015-2017 </w:t>
      </w:r>
      <w:bookmarkStart w:id="0" w:name="_GoBack"/>
      <w:bookmarkEnd w:id="0"/>
    </w:p>
    <w:p w:rsidR="00D03D3F" w:rsidRPr="00547E16" w:rsidRDefault="00D63691" w:rsidP="00A74FD9">
      <w:pPr>
        <w:spacing w:after="0" w:line="300" w:lineRule="exact"/>
        <w:rPr>
          <w:rFonts w:ascii="Arial" w:hAnsi="Arial" w:cs="Arial"/>
          <w:i/>
          <w:sz w:val="20"/>
          <w:szCs w:val="20"/>
        </w:rPr>
      </w:pPr>
      <w:r w:rsidRPr="00547E16">
        <w:rPr>
          <w:rFonts w:ascii="Arial" w:hAnsi="Arial" w:cs="Arial"/>
          <w:i/>
          <w:sz w:val="20"/>
          <w:szCs w:val="20"/>
        </w:rPr>
        <w:t>Quelle: Berner Fachhochschule, Travail.Suisse, «Barometer Gute Arbeit»</w:t>
      </w:r>
    </w:p>
    <w:p w:rsidR="00547E16" w:rsidRDefault="00547E16" w:rsidP="00A74FD9">
      <w:pPr>
        <w:spacing w:after="0" w:line="300" w:lineRule="exact"/>
        <w:rPr>
          <w:rFonts w:ascii="Arial" w:hAnsi="Arial" w:cs="Arial"/>
          <w:sz w:val="20"/>
          <w:szCs w:val="20"/>
        </w:rPr>
      </w:pPr>
    </w:p>
    <w:p w:rsidR="00D63691" w:rsidRPr="00A74FD9" w:rsidRDefault="00D63691" w:rsidP="00A74FD9">
      <w:pPr>
        <w:spacing w:after="0" w:line="300" w:lineRule="exact"/>
        <w:rPr>
          <w:rFonts w:ascii="Arial" w:hAnsi="Arial" w:cs="Arial"/>
          <w:sz w:val="20"/>
          <w:szCs w:val="20"/>
        </w:rPr>
      </w:pPr>
      <w:r w:rsidRPr="00A74FD9">
        <w:rPr>
          <w:rFonts w:ascii="Arial" w:hAnsi="Arial" w:cs="Arial"/>
          <w:sz w:val="20"/>
          <w:szCs w:val="20"/>
        </w:rPr>
        <w:t>Während bei den 16-29</w:t>
      </w:r>
      <w:r w:rsidR="00DD6538">
        <w:rPr>
          <w:rFonts w:ascii="Arial" w:hAnsi="Arial" w:cs="Arial"/>
          <w:sz w:val="20"/>
          <w:szCs w:val="20"/>
        </w:rPr>
        <w:t>-j</w:t>
      </w:r>
      <w:r w:rsidRPr="00A74FD9">
        <w:rPr>
          <w:rFonts w:ascii="Arial" w:hAnsi="Arial" w:cs="Arial"/>
          <w:sz w:val="20"/>
          <w:szCs w:val="20"/>
        </w:rPr>
        <w:t>ährigen jeder Dritte und bei den 30-45</w:t>
      </w:r>
      <w:r w:rsidR="00DD6538">
        <w:rPr>
          <w:rFonts w:ascii="Arial" w:hAnsi="Arial" w:cs="Arial"/>
          <w:sz w:val="20"/>
          <w:szCs w:val="20"/>
        </w:rPr>
        <w:t>-j</w:t>
      </w:r>
      <w:r w:rsidRPr="00A74FD9">
        <w:rPr>
          <w:rFonts w:ascii="Arial" w:hAnsi="Arial" w:cs="Arial"/>
          <w:sz w:val="20"/>
          <w:szCs w:val="20"/>
        </w:rPr>
        <w:t>ährigen knapp die Hälfte mit entsprechenden Schwierigkeiten rechnet, glauben bei den 46-65</w:t>
      </w:r>
      <w:r w:rsidR="00DD6538">
        <w:rPr>
          <w:rFonts w:ascii="Arial" w:hAnsi="Arial" w:cs="Arial"/>
          <w:sz w:val="20"/>
          <w:szCs w:val="20"/>
        </w:rPr>
        <w:t>-j</w:t>
      </w:r>
      <w:r w:rsidRPr="00A74FD9">
        <w:rPr>
          <w:rFonts w:ascii="Arial" w:hAnsi="Arial" w:cs="Arial"/>
          <w:sz w:val="20"/>
          <w:szCs w:val="20"/>
        </w:rPr>
        <w:t xml:space="preserve">ährigen rund zwei Drittel nicht oder kaum daran bei Stellenverlust wieder eine vergleichbare Stelle zu finden. Auffällig </w:t>
      </w:r>
      <w:r w:rsidR="00DD6538">
        <w:rPr>
          <w:rFonts w:ascii="Arial" w:hAnsi="Arial" w:cs="Arial"/>
          <w:sz w:val="20"/>
          <w:szCs w:val="20"/>
        </w:rPr>
        <w:t xml:space="preserve">ist </w:t>
      </w:r>
      <w:r w:rsidR="00B104A3" w:rsidRPr="00A74FD9">
        <w:rPr>
          <w:rFonts w:ascii="Arial" w:hAnsi="Arial" w:cs="Arial"/>
          <w:sz w:val="20"/>
          <w:szCs w:val="20"/>
        </w:rPr>
        <w:t>zudem</w:t>
      </w:r>
      <w:r w:rsidRPr="00A74FD9">
        <w:rPr>
          <w:rFonts w:ascii="Arial" w:hAnsi="Arial" w:cs="Arial"/>
          <w:sz w:val="20"/>
          <w:szCs w:val="20"/>
        </w:rPr>
        <w:t>, dass der Anteil der Arbeitnehmenden mit eingeschränkter Arbeitsmarktmobilität bei den beiden jüngeren Altersk</w:t>
      </w:r>
      <w:r w:rsidR="00B104A3" w:rsidRPr="00A74FD9">
        <w:rPr>
          <w:rFonts w:ascii="Arial" w:hAnsi="Arial" w:cs="Arial"/>
          <w:sz w:val="20"/>
          <w:szCs w:val="20"/>
        </w:rPr>
        <w:t>ategorien</w:t>
      </w:r>
      <w:r w:rsidRPr="00A74FD9">
        <w:rPr>
          <w:rFonts w:ascii="Arial" w:hAnsi="Arial" w:cs="Arial"/>
          <w:sz w:val="20"/>
          <w:szCs w:val="20"/>
        </w:rPr>
        <w:t xml:space="preserve"> stabil </w:t>
      </w:r>
      <w:r w:rsidR="00B104A3" w:rsidRPr="00A74FD9">
        <w:rPr>
          <w:rFonts w:ascii="Arial" w:hAnsi="Arial" w:cs="Arial"/>
          <w:sz w:val="20"/>
          <w:szCs w:val="20"/>
        </w:rPr>
        <w:t>bleibt, während er bei den</w:t>
      </w:r>
      <w:r w:rsidRPr="00A74FD9">
        <w:rPr>
          <w:rFonts w:ascii="Arial" w:hAnsi="Arial" w:cs="Arial"/>
          <w:sz w:val="20"/>
          <w:szCs w:val="20"/>
        </w:rPr>
        <w:t xml:space="preserve"> älteren Arbeitnehmenden </w:t>
      </w:r>
      <w:r w:rsidR="00B104A3" w:rsidRPr="00A74FD9">
        <w:rPr>
          <w:rFonts w:ascii="Arial" w:hAnsi="Arial" w:cs="Arial"/>
          <w:sz w:val="20"/>
          <w:szCs w:val="20"/>
        </w:rPr>
        <w:t>weiter zunimmt.</w:t>
      </w:r>
    </w:p>
    <w:p w:rsidR="00864029" w:rsidRDefault="00864029" w:rsidP="00A74FD9">
      <w:pPr>
        <w:spacing w:after="0" w:line="300" w:lineRule="exact"/>
        <w:rPr>
          <w:rFonts w:ascii="Arial" w:hAnsi="Arial" w:cs="Arial"/>
          <w:b/>
          <w:sz w:val="20"/>
          <w:szCs w:val="20"/>
        </w:rPr>
      </w:pPr>
    </w:p>
    <w:p w:rsidR="00547E16" w:rsidRPr="00A74FD9" w:rsidRDefault="00547E16" w:rsidP="00A74FD9">
      <w:pPr>
        <w:spacing w:after="0" w:line="300" w:lineRule="exact"/>
        <w:rPr>
          <w:rFonts w:ascii="Arial" w:hAnsi="Arial" w:cs="Arial"/>
          <w:b/>
          <w:sz w:val="20"/>
          <w:szCs w:val="20"/>
        </w:rPr>
      </w:pPr>
    </w:p>
    <w:p w:rsidR="00F53B92" w:rsidRDefault="00F53B92" w:rsidP="00A74FD9">
      <w:pPr>
        <w:spacing w:after="0" w:line="300" w:lineRule="exact"/>
        <w:rPr>
          <w:rFonts w:ascii="Arial" w:hAnsi="Arial" w:cs="Arial"/>
          <w:b/>
          <w:sz w:val="20"/>
          <w:szCs w:val="20"/>
        </w:rPr>
      </w:pPr>
      <w:r w:rsidRPr="00A74FD9">
        <w:rPr>
          <w:rFonts w:ascii="Arial" w:hAnsi="Arial" w:cs="Arial"/>
          <w:b/>
          <w:sz w:val="20"/>
          <w:szCs w:val="20"/>
        </w:rPr>
        <w:t>Grosse Fallhöhe bei einer Aussteuerung</w:t>
      </w:r>
    </w:p>
    <w:p w:rsidR="00547E16" w:rsidRPr="00A74FD9" w:rsidRDefault="00547E16" w:rsidP="00A74FD9">
      <w:pPr>
        <w:spacing w:after="0" w:line="300" w:lineRule="exact"/>
        <w:rPr>
          <w:rFonts w:ascii="Arial" w:hAnsi="Arial" w:cs="Arial"/>
          <w:b/>
          <w:sz w:val="20"/>
          <w:szCs w:val="20"/>
        </w:rPr>
      </w:pPr>
    </w:p>
    <w:p w:rsidR="00EC32FC" w:rsidRPr="00A74FD9" w:rsidRDefault="00EC32FC" w:rsidP="00A74FD9">
      <w:pPr>
        <w:spacing w:after="0" w:line="300" w:lineRule="exact"/>
        <w:rPr>
          <w:rFonts w:ascii="Arial" w:hAnsi="Arial" w:cs="Arial"/>
          <w:sz w:val="20"/>
          <w:szCs w:val="20"/>
        </w:rPr>
      </w:pPr>
      <w:r w:rsidRPr="00A74FD9">
        <w:rPr>
          <w:rFonts w:ascii="Arial" w:hAnsi="Arial" w:cs="Arial"/>
          <w:sz w:val="20"/>
          <w:szCs w:val="20"/>
        </w:rPr>
        <w:t>Bei einer Aussteuerung wenige Jahre vor dem ordentlichen Pensionsalter ist die Fallhöhe besonders gross. Einerseits sind die letzten Jahre vor der Pensionierung besonders wichtig für</w:t>
      </w:r>
      <w:r w:rsidR="00FE161C" w:rsidRPr="00A74FD9">
        <w:rPr>
          <w:rFonts w:ascii="Arial" w:hAnsi="Arial" w:cs="Arial"/>
          <w:sz w:val="20"/>
          <w:szCs w:val="20"/>
        </w:rPr>
        <w:t xml:space="preserve"> den Aufbau der BVG-Rente. Dazu </w:t>
      </w:r>
      <w:r w:rsidRPr="00A74FD9">
        <w:rPr>
          <w:rFonts w:ascii="Arial" w:hAnsi="Arial" w:cs="Arial"/>
          <w:sz w:val="20"/>
          <w:szCs w:val="20"/>
        </w:rPr>
        <w:t>tragen die hohen Löhne aufgrund der üblichen Lohnentwicklung und die höchsten Altersgutschriften in Prozenten des koordinierten Lohnes</w:t>
      </w:r>
      <w:r w:rsidR="00FE161C" w:rsidRPr="00A74FD9">
        <w:rPr>
          <w:rFonts w:ascii="Arial" w:hAnsi="Arial" w:cs="Arial"/>
          <w:sz w:val="20"/>
          <w:szCs w:val="20"/>
        </w:rPr>
        <w:t xml:space="preserve"> bei</w:t>
      </w:r>
      <w:r w:rsidRPr="00A74FD9">
        <w:rPr>
          <w:rFonts w:ascii="Arial" w:hAnsi="Arial" w:cs="Arial"/>
          <w:sz w:val="20"/>
          <w:szCs w:val="20"/>
        </w:rPr>
        <w:t>. Andererseits</w:t>
      </w:r>
      <w:r w:rsidR="009926D9" w:rsidRPr="00A74FD9">
        <w:rPr>
          <w:rFonts w:ascii="Arial" w:hAnsi="Arial" w:cs="Arial"/>
          <w:sz w:val="20"/>
          <w:szCs w:val="20"/>
        </w:rPr>
        <w:t xml:space="preserve"> droht der gänzliche Ausschluss aus dem Rentensystem der Pensionskassen. Die Ersparnisse in der Pensionskasse bleiben zwar als Vermögen auf einem Freizügigkeitskonto erhalten, lösen so aber keinen Rentenanspruch aus. Drittens bleibt nach einer Aussteuerung nur der Vermögensverzehr, da das letzte soziale Auffangnetz – die Sozialhilfe – erst ab einem Vermögensfreibetrag von 4000 Franken zum Tragen kommt. Teilweise wird dies von den kommunalen Sozialhilfen gar so ausgelegt, dass über Frühpensionierungen auch noch der Zugriff auf die auf dem Freizügigkeitskonto liegenden Pensionskassengelder erwirkt wird. </w:t>
      </w:r>
      <w:r w:rsidR="00FE161C" w:rsidRPr="00A74FD9">
        <w:rPr>
          <w:rFonts w:ascii="Arial" w:hAnsi="Arial" w:cs="Arial"/>
          <w:sz w:val="20"/>
          <w:szCs w:val="20"/>
        </w:rPr>
        <w:t>Im Extremfall kann so eine 40-jährige harte Erwerbsbiografie mit gewissem Vermögensaufbau und solider Pensionskassenabdeckung in den letzten Jahren vor der ordentlichen Pensionierung zu einem sozialen und wirtschaftlichen Abstieg führen, der als Alterssicherung lediglich AHV-Rente und allfällige Ergänzungsleitungen übrig lässt und so faktisch zu Altersarmut führt.</w:t>
      </w:r>
    </w:p>
    <w:p w:rsidR="00FE161C" w:rsidRDefault="00FE161C" w:rsidP="00A74FD9">
      <w:pPr>
        <w:spacing w:after="0" w:line="300" w:lineRule="exact"/>
        <w:rPr>
          <w:rFonts w:ascii="Arial" w:hAnsi="Arial" w:cs="Arial"/>
          <w:sz w:val="20"/>
          <w:szCs w:val="20"/>
        </w:rPr>
      </w:pPr>
    </w:p>
    <w:p w:rsidR="00547E16" w:rsidRPr="00A74FD9" w:rsidRDefault="00547E16" w:rsidP="00A74FD9">
      <w:pPr>
        <w:spacing w:after="0" w:line="300" w:lineRule="exact"/>
        <w:rPr>
          <w:rFonts w:ascii="Arial" w:hAnsi="Arial" w:cs="Arial"/>
          <w:sz w:val="20"/>
          <w:szCs w:val="20"/>
        </w:rPr>
      </w:pPr>
    </w:p>
    <w:p w:rsidR="00FE161C" w:rsidRDefault="00FE161C" w:rsidP="00A74FD9">
      <w:pPr>
        <w:spacing w:after="0" w:line="300" w:lineRule="exact"/>
        <w:rPr>
          <w:rFonts w:ascii="Arial" w:hAnsi="Arial" w:cs="Arial"/>
          <w:b/>
          <w:sz w:val="20"/>
          <w:szCs w:val="20"/>
        </w:rPr>
      </w:pPr>
      <w:r w:rsidRPr="00A74FD9">
        <w:rPr>
          <w:rFonts w:ascii="Arial" w:hAnsi="Arial" w:cs="Arial"/>
          <w:b/>
          <w:sz w:val="20"/>
          <w:szCs w:val="20"/>
        </w:rPr>
        <w:t>Es braucht Massnahmen auf mehreren Ebenen</w:t>
      </w:r>
    </w:p>
    <w:p w:rsidR="00547E16" w:rsidRPr="00A74FD9" w:rsidRDefault="00547E16" w:rsidP="00A74FD9">
      <w:pPr>
        <w:spacing w:after="0" w:line="300" w:lineRule="exact"/>
        <w:rPr>
          <w:rFonts w:ascii="Arial" w:hAnsi="Arial" w:cs="Arial"/>
          <w:b/>
          <w:sz w:val="20"/>
          <w:szCs w:val="20"/>
        </w:rPr>
      </w:pPr>
    </w:p>
    <w:p w:rsidR="00FE161C" w:rsidRDefault="00FE161C" w:rsidP="00A74FD9">
      <w:pPr>
        <w:spacing w:after="0" w:line="300" w:lineRule="exact"/>
        <w:rPr>
          <w:rFonts w:ascii="Arial" w:hAnsi="Arial" w:cs="Arial"/>
          <w:sz w:val="20"/>
          <w:szCs w:val="20"/>
        </w:rPr>
      </w:pPr>
      <w:r w:rsidRPr="00A74FD9">
        <w:rPr>
          <w:rFonts w:ascii="Arial" w:hAnsi="Arial" w:cs="Arial"/>
          <w:sz w:val="20"/>
          <w:szCs w:val="20"/>
        </w:rPr>
        <w:t>Ein</w:t>
      </w:r>
      <w:r w:rsidR="00DD6538">
        <w:rPr>
          <w:rFonts w:ascii="Arial" w:hAnsi="Arial" w:cs="Arial"/>
          <w:sz w:val="20"/>
          <w:szCs w:val="20"/>
        </w:rPr>
        <w:t xml:space="preserve"> </w:t>
      </w:r>
      <w:r w:rsidRPr="00A74FD9">
        <w:rPr>
          <w:rFonts w:ascii="Arial" w:hAnsi="Arial" w:cs="Arial"/>
          <w:sz w:val="20"/>
          <w:szCs w:val="20"/>
        </w:rPr>
        <w:t>entscheidende</w:t>
      </w:r>
      <w:r w:rsidR="00DD6538">
        <w:rPr>
          <w:rFonts w:ascii="Arial" w:hAnsi="Arial" w:cs="Arial"/>
          <w:sz w:val="20"/>
          <w:szCs w:val="20"/>
        </w:rPr>
        <w:t>s Ziel</w:t>
      </w:r>
      <w:r w:rsidRPr="00A74FD9">
        <w:rPr>
          <w:rFonts w:ascii="Arial" w:hAnsi="Arial" w:cs="Arial"/>
          <w:sz w:val="20"/>
          <w:szCs w:val="20"/>
        </w:rPr>
        <w:t xml:space="preserve"> </w:t>
      </w:r>
      <w:r w:rsidR="00BF5563" w:rsidRPr="00A74FD9">
        <w:rPr>
          <w:rFonts w:ascii="Arial" w:hAnsi="Arial" w:cs="Arial"/>
          <w:sz w:val="20"/>
          <w:szCs w:val="20"/>
        </w:rPr>
        <w:t xml:space="preserve">ist die Vermeidung der Aussteuerung und damit </w:t>
      </w:r>
      <w:r w:rsidRPr="00A74FD9">
        <w:rPr>
          <w:rFonts w:ascii="Arial" w:hAnsi="Arial" w:cs="Arial"/>
          <w:sz w:val="20"/>
          <w:szCs w:val="20"/>
        </w:rPr>
        <w:t>der Erhalt der Arbeitsmarktfähigkeit der älteren Arbeitnehmenden. Dazu braucht es eine gute Weiterbildungspolitik, in der die einzelnen P</w:t>
      </w:r>
      <w:r w:rsidR="00BF5563" w:rsidRPr="00A74FD9">
        <w:rPr>
          <w:rFonts w:ascii="Arial" w:hAnsi="Arial" w:cs="Arial"/>
          <w:sz w:val="20"/>
          <w:szCs w:val="20"/>
        </w:rPr>
        <w:t>e</w:t>
      </w:r>
      <w:r w:rsidRPr="00A74FD9">
        <w:rPr>
          <w:rFonts w:ascii="Arial" w:hAnsi="Arial" w:cs="Arial"/>
          <w:sz w:val="20"/>
          <w:szCs w:val="20"/>
        </w:rPr>
        <w:t>rsonen</w:t>
      </w:r>
      <w:r w:rsidR="00BF5563" w:rsidRPr="00A74FD9">
        <w:rPr>
          <w:rFonts w:ascii="Arial" w:hAnsi="Arial" w:cs="Arial"/>
          <w:sz w:val="20"/>
          <w:szCs w:val="20"/>
        </w:rPr>
        <w:t xml:space="preserve">, die Wirtschaft und die öffentliche Hand gut zusammenarbeiten. Dazu </w:t>
      </w:r>
      <w:r w:rsidR="00BF5563" w:rsidRPr="00A74FD9">
        <w:rPr>
          <w:rFonts w:ascii="Arial" w:hAnsi="Arial" w:cs="Arial"/>
          <w:sz w:val="20"/>
          <w:szCs w:val="20"/>
        </w:rPr>
        <w:lastRenderedPageBreak/>
        <w:t>gehören regelmässige Standortbestimmungen ab der Mitte des Erwerbslebens, eine ausgebaute Berufsbildung für Erwachsene und breitere Unterstützung der Weiterbildungsbemühungen gerade von älteren Arbeitnehmenden. Ein weiteres Element ist eine wirksame Stellenmeldepflicht. Die Stellenmeldepflicht funktioniert</w:t>
      </w:r>
      <w:r w:rsidR="00DD6538">
        <w:rPr>
          <w:rFonts w:ascii="Arial" w:hAnsi="Arial" w:cs="Arial"/>
          <w:sz w:val="20"/>
          <w:szCs w:val="20"/>
        </w:rPr>
        <w:t xml:space="preserve"> so</w:t>
      </w:r>
      <w:r w:rsidR="00BF5563" w:rsidRPr="00A74FD9">
        <w:rPr>
          <w:rFonts w:ascii="Arial" w:hAnsi="Arial" w:cs="Arial"/>
          <w:sz w:val="20"/>
          <w:szCs w:val="20"/>
        </w:rPr>
        <w:t xml:space="preserve">, </w:t>
      </w:r>
      <w:r w:rsidR="00DD6538">
        <w:rPr>
          <w:rFonts w:ascii="Arial" w:hAnsi="Arial" w:cs="Arial"/>
          <w:sz w:val="20"/>
          <w:szCs w:val="20"/>
        </w:rPr>
        <w:t>dass heute</w:t>
      </w:r>
      <w:r w:rsidR="00BF5563" w:rsidRPr="00A74FD9">
        <w:rPr>
          <w:rFonts w:ascii="Arial" w:hAnsi="Arial" w:cs="Arial"/>
          <w:sz w:val="20"/>
          <w:szCs w:val="20"/>
        </w:rPr>
        <w:t xml:space="preserve"> deutlich mehr offenen Stellen der öffentlichen Arbeitsvermittlung gemeldet werden. Entscheidend wird sein, dass die Arbeitgeber bei Stellenbesetzungen auch bereit sind aus </w:t>
      </w:r>
      <w:r w:rsidR="00267A99">
        <w:rPr>
          <w:rFonts w:ascii="Arial" w:hAnsi="Arial" w:cs="Arial"/>
          <w:sz w:val="20"/>
          <w:szCs w:val="20"/>
        </w:rPr>
        <w:t>der Auswahl an</w:t>
      </w:r>
      <w:r w:rsidR="00BF5563" w:rsidRPr="00A74FD9">
        <w:rPr>
          <w:rFonts w:ascii="Arial" w:hAnsi="Arial" w:cs="Arial"/>
          <w:sz w:val="20"/>
          <w:szCs w:val="20"/>
        </w:rPr>
        <w:t xml:space="preserve"> arbeitslosen Personen zu rekrutieren. Es braucht eine vertiefte Analyse der Wirkungen und Effekte der Stellenmeldepflicht, gerade auch für ältere Arbeitslose.</w:t>
      </w:r>
    </w:p>
    <w:p w:rsidR="00547E16" w:rsidRPr="00A74FD9" w:rsidRDefault="00547E16" w:rsidP="00A74FD9">
      <w:pPr>
        <w:spacing w:after="0" w:line="300" w:lineRule="exact"/>
        <w:rPr>
          <w:rFonts w:ascii="Arial" w:hAnsi="Arial" w:cs="Arial"/>
          <w:sz w:val="20"/>
          <w:szCs w:val="20"/>
        </w:rPr>
      </w:pPr>
    </w:p>
    <w:p w:rsidR="00BF5563" w:rsidRDefault="00F101A5" w:rsidP="00A74FD9">
      <w:pPr>
        <w:spacing w:after="0" w:line="300" w:lineRule="exact"/>
        <w:rPr>
          <w:rFonts w:ascii="Arial" w:hAnsi="Arial" w:cs="Arial"/>
          <w:sz w:val="20"/>
          <w:szCs w:val="20"/>
        </w:rPr>
      </w:pPr>
      <w:r w:rsidRPr="00A74FD9">
        <w:rPr>
          <w:rFonts w:ascii="Arial" w:hAnsi="Arial" w:cs="Arial"/>
          <w:sz w:val="20"/>
          <w:szCs w:val="20"/>
        </w:rPr>
        <w:t xml:space="preserve">Für ältere ausgesteuerte Arbeitnehmende braucht es Sonderlösung, </w:t>
      </w:r>
      <w:r w:rsidR="00267A99">
        <w:rPr>
          <w:rFonts w:ascii="Arial" w:hAnsi="Arial" w:cs="Arial"/>
          <w:sz w:val="20"/>
          <w:szCs w:val="20"/>
        </w:rPr>
        <w:t>die</w:t>
      </w:r>
      <w:r w:rsidR="00267A99" w:rsidRPr="00A74FD9">
        <w:rPr>
          <w:rFonts w:ascii="Arial" w:hAnsi="Arial" w:cs="Arial"/>
          <w:sz w:val="20"/>
          <w:szCs w:val="20"/>
        </w:rPr>
        <w:t xml:space="preserve"> </w:t>
      </w:r>
      <w:r w:rsidRPr="00A74FD9">
        <w:rPr>
          <w:rFonts w:ascii="Arial" w:hAnsi="Arial" w:cs="Arial"/>
          <w:sz w:val="20"/>
          <w:szCs w:val="20"/>
        </w:rPr>
        <w:t>den Vermögensverzehr bremsen und insbesondere das für die Altersvorsorge aufgebaute Kapital schützen. Die</w:t>
      </w:r>
      <w:r w:rsidR="00D03D3F" w:rsidRPr="00A74FD9">
        <w:rPr>
          <w:rFonts w:ascii="Arial" w:hAnsi="Arial" w:cs="Arial"/>
          <w:sz w:val="20"/>
          <w:szCs w:val="20"/>
        </w:rPr>
        <w:t xml:space="preserve"> </w:t>
      </w:r>
      <w:r w:rsidR="00267A99">
        <w:rPr>
          <w:rFonts w:ascii="Arial" w:hAnsi="Arial" w:cs="Arial"/>
          <w:sz w:val="20"/>
          <w:szCs w:val="20"/>
        </w:rPr>
        <w:t>schnellst</w:t>
      </w:r>
      <w:r w:rsidR="00267A99" w:rsidRPr="00A74FD9">
        <w:rPr>
          <w:rFonts w:ascii="Arial" w:hAnsi="Arial" w:cs="Arial"/>
          <w:sz w:val="20"/>
          <w:szCs w:val="20"/>
        </w:rPr>
        <w:t xml:space="preserve">mögliche </w:t>
      </w:r>
      <w:r w:rsidR="00D03D3F" w:rsidRPr="00A74FD9">
        <w:rPr>
          <w:rFonts w:ascii="Arial" w:hAnsi="Arial" w:cs="Arial"/>
          <w:sz w:val="20"/>
          <w:szCs w:val="20"/>
        </w:rPr>
        <w:t>Umsetzung des</w:t>
      </w:r>
      <w:r w:rsidRPr="00A74FD9">
        <w:rPr>
          <w:rFonts w:ascii="Arial" w:hAnsi="Arial" w:cs="Arial"/>
          <w:sz w:val="20"/>
          <w:szCs w:val="20"/>
        </w:rPr>
        <w:t xml:space="preserve"> Verbleibe</w:t>
      </w:r>
      <w:r w:rsidR="00D03D3F" w:rsidRPr="00A74FD9">
        <w:rPr>
          <w:rFonts w:ascii="Arial" w:hAnsi="Arial" w:cs="Arial"/>
          <w:sz w:val="20"/>
          <w:szCs w:val="20"/>
        </w:rPr>
        <w:t>s</w:t>
      </w:r>
      <w:r w:rsidRPr="00A74FD9">
        <w:rPr>
          <w:rFonts w:ascii="Arial" w:hAnsi="Arial" w:cs="Arial"/>
          <w:sz w:val="20"/>
          <w:szCs w:val="20"/>
        </w:rPr>
        <w:t xml:space="preserve"> bei der Pe</w:t>
      </w:r>
      <w:r w:rsidR="00D03D3F" w:rsidRPr="00A74FD9">
        <w:rPr>
          <w:rFonts w:ascii="Arial" w:hAnsi="Arial" w:cs="Arial"/>
          <w:sz w:val="20"/>
          <w:szCs w:val="20"/>
        </w:rPr>
        <w:t xml:space="preserve">nsionskasse auch im Falle von </w:t>
      </w:r>
      <w:r w:rsidRPr="00A74FD9">
        <w:rPr>
          <w:rFonts w:ascii="Arial" w:hAnsi="Arial" w:cs="Arial"/>
          <w:sz w:val="20"/>
          <w:szCs w:val="20"/>
        </w:rPr>
        <w:t>Arbeitslosigkeit, wie sie bereits in der gescheiterten AHV-Reform vorgesehene war, hat für Travail.Suisse höchste Priorität. Weiter soll</w:t>
      </w:r>
      <w:r w:rsidR="004A3389" w:rsidRPr="00A74FD9">
        <w:rPr>
          <w:rFonts w:ascii="Arial" w:hAnsi="Arial" w:cs="Arial"/>
          <w:sz w:val="20"/>
          <w:szCs w:val="20"/>
        </w:rPr>
        <w:t xml:space="preserve"> die Einführung von ausgebauter Arbeitslosenhilfe oder einem System mit Brückenrenten geprüft werden. Entscheidend ist dabei immer die Berücksichtigung, resp. Vermeidung von Fehlanreizen sowohl für Arbeitnehme</w:t>
      </w:r>
      <w:r w:rsidR="00267A99">
        <w:rPr>
          <w:rFonts w:ascii="Arial" w:hAnsi="Arial" w:cs="Arial"/>
          <w:sz w:val="20"/>
          <w:szCs w:val="20"/>
        </w:rPr>
        <w:t>nde</w:t>
      </w:r>
      <w:r w:rsidR="004A3389" w:rsidRPr="00A74FD9">
        <w:rPr>
          <w:rFonts w:ascii="Arial" w:hAnsi="Arial" w:cs="Arial"/>
          <w:sz w:val="20"/>
          <w:szCs w:val="20"/>
        </w:rPr>
        <w:t xml:space="preserve"> wie Arbeitgeber.</w:t>
      </w: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267A99" w:rsidRDefault="00267A99"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110AF" w:rsidRDefault="003110AF" w:rsidP="00A74FD9">
      <w:pPr>
        <w:spacing w:after="0" w:line="300" w:lineRule="exact"/>
        <w:rPr>
          <w:rFonts w:ascii="Arial" w:hAnsi="Arial" w:cs="Arial"/>
          <w:sz w:val="20"/>
          <w:szCs w:val="20"/>
        </w:rPr>
      </w:pPr>
    </w:p>
    <w:p w:rsidR="003D6481" w:rsidRDefault="003D6481" w:rsidP="00A74FD9">
      <w:pPr>
        <w:spacing w:after="0" w:line="300" w:lineRule="exact"/>
        <w:rPr>
          <w:rFonts w:ascii="Arial" w:hAnsi="Arial" w:cs="Arial"/>
          <w:sz w:val="20"/>
          <w:szCs w:val="20"/>
        </w:rPr>
      </w:pPr>
    </w:p>
    <w:p w:rsidR="003D6481" w:rsidRPr="00526632" w:rsidRDefault="003D6481" w:rsidP="003D6481">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3D6481" w:rsidRPr="003D6481" w:rsidRDefault="008D3AFD" w:rsidP="003D6481">
      <w:pPr>
        <w:spacing w:after="0" w:line="300" w:lineRule="exact"/>
        <w:jc w:val="center"/>
        <w:rPr>
          <w:rFonts w:ascii="Arial" w:hAnsi="Arial" w:cs="Arial"/>
          <w:sz w:val="20"/>
          <w:szCs w:val="20"/>
        </w:rPr>
      </w:pPr>
      <w:hyperlink r:id="rId10" w:history="1">
        <w:r w:rsidR="003D6481" w:rsidRPr="003D6481">
          <w:rPr>
            <w:rStyle w:val="Hyperlink"/>
            <w:rFonts w:ascii="Arial" w:hAnsi="Arial"/>
            <w:color w:val="auto"/>
            <w:sz w:val="20"/>
            <w:szCs w:val="20"/>
          </w:rPr>
          <w:t>www.travailsuisse.ch</w:t>
        </w:r>
      </w:hyperlink>
      <w:r w:rsidR="003D6481" w:rsidRPr="003D6481">
        <w:rPr>
          <w:rFonts w:ascii="Arial" w:hAnsi="Arial"/>
          <w:sz w:val="20"/>
          <w:szCs w:val="20"/>
        </w:rPr>
        <w:t xml:space="preserve"> </w:t>
      </w:r>
    </w:p>
    <w:sectPr w:rsidR="003D6481" w:rsidRPr="003D6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BC" w:rsidRDefault="00BE52BC" w:rsidP="00827D83">
      <w:pPr>
        <w:spacing w:after="0" w:line="240" w:lineRule="auto"/>
      </w:pPr>
      <w:r>
        <w:separator/>
      </w:r>
    </w:p>
  </w:endnote>
  <w:endnote w:type="continuationSeparator" w:id="0">
    <w:p w:rsidR="00BE52BC" w:rsidRDefault="00BE52BC"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BC" w:rsidRDefault="00BE52BC" w:rsidP="00827D83">
      <w:pPr>
        <w:spacing w:after="0" w:line="240" w:lineRule="auto"/>
      </w:pPr>
      <w:r>
        <w:separator/>
      </w:r>
    </w:p>
  </w:footnote>
  <w:footnote w:type="continuationSeparator" w:id="0">
    <w:p w:rsidR="00BE52BC" w:rsidRDefault="00BE52BC"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047A7"/>
    <w:rsid w:val="000404A3"/>
    <w:rsid w:val="000433FB"/>
    <w:rsid w:val="000454E9"/>
    <w:rsid w:val="00060CA1"/>
    <w:rsid w:val="000D7C85"/>
    <w:rsid w:val="00107757"/>
    <w:rsid w:val="0014012E"/>
    <w:rsid w:val="001B7DB0"/>
    <w:rsid w:val="001C147C"/>
    <w:rsid w:val="001C58CD"/>
    <w:rsid w:val="001C7883"/>
    <w:rsid w:val="00231508"/>
    <w:rsid w:val="002430FD"/>
    <w:rsid w:val="00267A99"/>
    <w:rsid w:val="00292439"/>
    <w:rsid w:val="002B1218"/>
    <w:rsid w:val="002C152E"/>
    <w:rsid w:val="002C3C4E"/>
    <w:rsid w:val="00306BE4"/>
    <w:rsid w:val="003110AF"/>
    <w:rsid w:val="003430F3"/>
    <w:rsid w:val="00353F2F"/>
    <w:rsid w:val="003D6481"/>
    <w:rsid w:val="004064AA"/>
    <w:rsid w:val="004175D5"/>
    <w:rsid w:val="004201EA"/>
    <w:rsid w:val="00441D11"/>
    <w:rsid w:val="004A3389"/>
    <w:rsid w:val="004D7C68"/>
    <w:rsid w:val="004F7EFF"/>
    <w:rsid w:val="005137FA"/>
    <w:rsid w:val="00537448"/>
    <w:rsid w:val="00547E16"/>
    <w:rsid w:val="005C56BF"/>
    <w:rsid w:val="005E073E"/>
    <w:rsid w:val="00610A45"/>
    <w:rsid w:val="006203A0"/>
    <w:rsid w:val="00622239"/>
    <w:rsid w:val="0065645E"/>
    <w:rsid w:val="0067227B"/>
    <w:rsid w:val="0068418A"/>
    <w:rsid w:val="006F0DF1"/>
    <w:rsid w:val="00700CF7"/>
    <w:rsid w:val="00720646"/>
    <w:rsid w:val="00732E7C"/>
    <w:rsid w:val="00765DE4"/>
    <w:rsid w:val="00765FB9"/>
    <w:rsid w:val="00794C2B"/>
    <w:rsid w:val="007C5501"/>
    <w:rsid w:val="007E7D05"/>
    <w:rsid w:val="008146BF"/>
    <w:rsid w:val="00827D83"/>
    <w:rsid w:val="00864029"/>
    <w:rsid w:val="00887858"/>
    <w:rsid w:val="00897A22"/>
    <w:rsid w:val="008D3AFD"/>
    <w:rsid w:val="008E3F93"/>
    <w:rsid w:val="008E5847"/>
    <w:rsid w:val="008F7E6A"/>
    <w:rsid w:val="00987619"/>
    <w:rsid w:val="009926D9"/>
    <w:rsid w:val="009E1962"/>
    <w:rsid w:val="009E572F"/>
    <w:rsid w:val="00A31FB9"/>
    <w:rsid w:val="00A4542F"/>
    <w:rsid w:val="00A52256"/>
    <w:rsid w:val="00A74FD9"/>
    <w:rsid w:val="00AA4DFC"/>
    <w:rsid w:val="00AB3F40"/>
    <w:rsid w:val="00AE7BFA"/>
    <w:rsid w:val="00B104A3"/>
    <w:rsid w:val="00B25892"/>
    <w:rsid w:val="00B3356F"/>
    <w:rsid w:val="00B607A5"/>
    <w:rsid w:val="00B65C79"/>
    <w:rsid w:val="00B805DA"/>
    <w:rsid w:val="00B923F4"/>
    <w:rsid w:val="00BE52BC"/>
    <w:rsid w:val="00BF5563"/>
    <w:rsid w:val="00C61489"/>
    <w:rsid w:val="00C75964"/>
    <w:rsid w:val="00CB0FA7"/>
    <w:rsid w:val="00D03D3F"/>
    <w:rsid w:val="00D07A61"/>
    <w:rsid w:val="00D16A4B"/>
    <w:rsid w:val="00D30B96"/>
    <w:rsid w:val="00D63691"/>
    <w:rsid w:val="00D651CE"/>
    <w:rsid w:val="00D7444A"/>
    <w:rsid w:val="00DB7E85"/>
    <w:rsid w:val="00DC09E2"/>
    <w:rsid w:val="00DD6538"/>
    <w:rsid w:val="00E113F0"/>
    <w:rsid w:val="00E6000A"/>
    <w:rsid w:val="00E62825"/>
    <w:rsid w:val="00E814C8"/>
    <w:rsid w:val="00EC32FC"/>
    <w:rsid w:val="00EE1EDD"/>
    <w:rsid w:val="00F101A5"/>
    <w:rsid w:val="00F22CAE"/>
    <w:rsid w:val="00F53B92"/>
    <w:rsid w:val="00F779FC"/>
    <w:rsid w:val="00F87F76"/>
    <w:rsid w:val="00FA04BF"/>
    <w:rsid w:val="00FA584F"/>
    <w:rsid w:val="00FE16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F219-72B9-4547-9EA7-256BB5B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7D83"/>
    <w:rPr>
      <w:sz w:val="20"/>
      <w:szCs w:val="20"/>
    </w:rPr>
  </w:style>
  <w:style w:type="character" w:styleId="Funotenzeichen">
    <w:name w:val="footnote reference"/>
    <w:basedOn w:val="Absatz-Standardschriftart"/>
    <w:uiPriority w:val="99"/>
    <w:semiHidden/>
    <w:unhideWhenUsed/>
    <w:rsid w:val="00827D83"/>
    <w:rPr>
      <w:vertAlign w:val="superscript"/>
    </w:rPr>
  </w:style>
  <w:style w:type="paragraph" w:styleId="Sprechblasentext">
    <w:name w:val="Balloon Text"/>
    <w:basedOn w:val="Standard"/>
    <w:link w:val="SprechblasentextZchn"/>
    <w:uiPriority w:val="99"/>
    <w:semiHidden/>
    <w:unhideWhenUsed/>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2E"/>
    <w:rPr>
      <w:rFonts w:ascii="Segoe UI" w:hAnsi="Segoe UI" w:cs="Segoe UI"/>
      <w:sz w:val="18"/>
      <w:szCs w:val="18"/>
    </w:rPr>
  </w:style>
  <w:style w:type="character" w:styleId="Hyperlink">
    <w:name w:val="Hyperlink"/>
    <w:rsid w:val="003D6481"/>
    <w:rPr>
      <w:color w:val="0000FF"/>
      <w:u w:val="single"/>
    </w:rPr>
  </w:style>
  <w:style w:type="paragraph" w:styleId="berarbeitung">
    <w:name w:val="Revision"/>
    <w:hidden/>
    <w:uiPriority w:val="99"/>
    <w:semiHidden/>
    <w:rsid w:val="000D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availsuisse.ch"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omainsrv\Usershares\fischer\&#196;ltere%20AN\2016%2003%2021%20&#228;AN%20AL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mainsrv\Usershares\fischer\&#196;ltere%20AN\2018%2004%2005%20Sozialhilfequote%20nach%20Alter%202005-2016xls.xls"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3045756989839"/>
          <c:y val="5.8417338709677434E-2"/>
          <c:w val="0.87105126096355256"/>
          <c:h val="0.73151035052070101"/>
        </c:manualLayout>
      </c:layout>
      <c:lineChart>
        <c:grouping val="standard"/>
        <c:varyColors val="0"/>
        <c:ser>
          <c:idx val="0"/>
          <c:order val="0"/>
          <c:tx>
            <c:strRef>
              <c:f>'3.1 Durchschnittliche Arbeitslo'!$B$118</c:f>
              <c:strCache>
                <c:ptCount val="1"/>
                <c:pt idx="0">
                  <c:v>15-29</c:v>
                </c:pt>
              </c:strCache>
            </c:strRef>
          </c:tx>
          <c:spPr>
            <a:ln w="28575" cap="rnd">
              <a:solidFill>
                <a:schemeClr val="accent1"/>
              </a:solidFill>
              <a:round/>
            </a:ln>
            <a:effectLst/>
          </c:spPr>
          <c:marker>
            <c:symbol val="none"/>
          </c:marker>
          <c:cat>
            <c:numRef>
              <c:f>'3.1 Durchschnittliche Arbeitslo'!$C$117:$H$117</c:f>
              <c:numCache>
                <c:formatCode>General</c:formatCode>
                <c:ptCount val="6"/>
                <c:pt idx="0">
                  <c:v>2013</c:v>
                </c:pt>
                <c:pt idx="1">
                  <c:v>2014</c:v>
                </c:pt>
                <c:pt idx="2">
                  <c:v>2015</c:v>
                </c:pt>
                <c:pt idx="3">
                  <c:v>2016</c:v>
                </c:pt>
                <c:pt idx="4">
                  <c:v>2017</c:v>
                </c:pt>
                <c:pt idx="5">
                  <c:v>2018</c:v>
                </c:pt>
              </c:numCache>
            </c:numRef>
          </c:cat>
          <c:val>
            <c:numRef>
              <c:f>'3.1 Durchschnittliche Arbeitslo'!$C$118:$H$118</c:f>
              <c:numCache>
                <c:formatCode>#,##0.0</c:formatCode>
                <c:ptCount val="6"/>
                <c:pt idx="0">
                  <c:v>100</c:v>
                </c:pt>
                <c:pt idx="1">
                  <c:v>97.138992902252298</c:v>
                </c:pt>
                <c:pt idx="2">
                  <c:v>101.37506287374951</c:v>
                </c:pt>
                <c:pt idx="3" formatCode="General">
                  <c:v>104</c:v>
                </c:pt>
                <c:pt idx="4" formatCode="General">
                  <c:v>95.7</c:v>
                </c:pt>
                <c:pt idx="5" formatCode="General">
                  <c:v>75.679204158050624</c:v>
                </c:pt>
              </c:numCache>
            </c:numRef>
          </c:val>
          <c:smooth val="0"/>
        </c:ser>
        <c:ser>
          <c:idx val="1"/>
          <c:order val="1"/>
          <c:tx>
            <c:strRef>
              <c:f>'3.1 Durchschnittliche Arbeitslo'!$B$119</c:f>
              <c:strCache>
                <c:ptCount val="1"/>
                <c:pt idx="0">
                  <c:v>30-49</c:v>
                </c:pt>
              </c:strCache>
            </c:strRef>
          </c:tx>
          <c:spPr>
            <a:ln w="28575" cap="rnd">
              <a:solidFill>
                <a:schemeClr val="accent2"/>
              </a:solidFill>
              <a:round/>
            </a:ln>
            <a:effectLst/>
          </c:spPr>
          <c:marker>
            <c:symbol val="none"/>
          </c:marker>
          <c:cat>
            <c:numRef>
              <c:f>'3.1 Durchschnittliche Arbeitslo'!$C$117:$H$117</c:f>
              <c:numCache>
                <c:formatCode>General</c:formatCode>
                <c:ptCount val="6"/>
                <c:pt idx="0">
                  <c:v>2013</c:v>
                </c:pt>
                <c:pt idx="1">
                  <c:v>2014</c:v>
                </c:pt>
                <c:pt idx="2">
                  <c:v>2015</c:v>
                </c:pt>
                <c:pt idx="3">
                  <c:v>2016</c:v>
                </c:pt>
                <c:pt idx="4">
                  <c:v>2017</c:v>
                </c:pt>
                <c:pt idx="5">
                  <c:v>2018</c:v>
                </c:pt>
              </c:numCache>
            </c:numRef>
          </c:cat>
          <c:val>
            <c:numRef>
              <c:f>'3.1 Durchschnittliche Arbeitslo'!$C$119:$H$119</c:f>
              <c:numCache>
                <c:formatCode>#,##0.0</c:formatCode>
                <c:ptCount val="6"/>
                <c:pt idx="0">
                  <c:v>100</c:v>
                </c:pt>
                <c:pt idx="1">
                  <c:v>99.927573822084199</c:v>
                </c:pt>
                <c:pt idx="2">
                  <c:v>103.79562694451909</c:v>
                </c:pt>
                <c:pt idx="3" formatCode="General">
                  <c:v>108</c:v>
                </c:pt>
                <c:pt idx="4" formatCode="General">
                  <c:v>103.5</c:v>
                </c:pt>
                <c:pt idx="5" formatCode="General">
                  <c:v>84.448180617269145</c:v>
                </c:pt>
              </c:numCache>
            </c:numRef>
          </c:val>
          <c:smooth val="0"/>
        </c:ser>
        <c:ser>
          <c:idx val="2"/>
          <c:order val="2"/>
          <c:tx>
            <c:strRef>
              <c:f>'3.1 Durchschnittliche Arbeitslo'!$B$120</c:f>
              <c:strCache>
                <c:ptCount val="1"/>
                <c:pt idx="0">
                  <c:v>50-60 und mehr</c:v>
                </c:pt>
              </c:strCache>
            </c:strRef>
          </c:tx>
          <c:spPr>
            <a:ln w="28575" cap="rnd">
              <a:solidFill>
                <a:schemeClr val="accent3"/>
              </a:solidFill>
              <a:round/>
            </a:ln>
            <a:effectLst/>
          </c:spPr>
          <c:marker>
            <c:symbol val="none"/>
          </c:marker>
          <c:cat>
            <c:numRef>
              <c:f>'3.1 Durchschnittliche Arbeitslo'!$C$117:$H$117</c:f>
              <c:numCache>
                <c:formatCode>General</c:formatCode>
                <c:ptCount val="6"/>
                <c:pt idx="0">
                  <c:v>2013</c:v>
                </c:pt>
                <c:pt idx="1">
                  <c:v>2014</c:v>
                </c:pt>
                <c:pt idx="2">
                  <c:v>2015</c:v>
                </c:pt>
                <c:pt idx="3">
                  <c:v>2016</c:v>
                </c:pt>
                <c:pt idx="4">
                  <c:v>2017</c:v>
                </c:pt>
                <c:pt idx="5">
                  <c:v>2018</c:v>
                </c:pt>
              </c:numCache>
            </c:numRef>
          </c:cat>
          <c:val>
            <c:numRef>
              <c:f>'3.1 Durchschnittliche Arbeitslo'!$C$120:$H$120</c:f>
              <c:numCache>
                <c:formatCode>#,##0.0</c:formatCode>
                <c:ptCount val="6"/>
                <c:pt idx="0">
                  <c:v>100</c:v>
                </c:pt>
                <c:pt idx="1">
                  <c:v>104.242727870495</c:v>
                </c:pt>
                <c:pt idx="2">
                  <c:v>110.07660915761235</c:v>
                </c:pt>
                <c:pt idx="3" formatCode="General">
                  <c:v>118.7</c:v>
                </c:pt>
                <c:pt idx="4" formatCode="General">
                  <c:v>118.4</c:v>
                </c:pt>
                <c:pt idx="5" formatCode="General">
                  <c:v>103.48498606631804</c:v>
                </c:pt>
              </c:numCache>
            </c:numRef>
          </c:val>
          <c:smooth val="0"/>
        </c:ser>
        <c:dLbls>
          <c:showLegendKey val="0"/>
          <c:showVal val="0"/>
          <c:showCatName val="0"/>
          <c:showSerName val="0"/>
          <c:showPercent val="0"/>
          <c:showBubbleSize val="0"/>
        </c:dLbls>
        <c:smooth val="0"/>
        <c:axId val="567409528"/>
        <c:axId val="567409920"/>
      </c:lineChart>
      <c:catAx>
        <c:axId val="56740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567409920"/>
        <c:crosses val="autoZero"/>
        <c:auto val="1"/>
        <c:lblAlgn val="ctr"/>
        <c:lblOffset val="100"/>
        <c:noMultiLvlLbl val="0"/>
      </c:catAx>
      <c:valAx>
        <c:axId val="567409920"/>
        <c:scaling>
          <c:orientation val="minMax"/>
          <c:max val="120"/>
          <c:min val="7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567409528"/>
        <c:crosses val="autoZero"/>
        <c:crossBetween val="between"/>
      </c:valAx>
      <c:spPr>
        <a:noFill/>
        <a:ln w="25400">
          <a:noFill/>
        </a:ln>
      </c:spPr>
    </c:plotArea>
    <c:legend>
      <c:legendPos val="b"/>
      <c:layout>
        <c:manualLayout>
          <c:xMode val="edge"/>
          <c:yMode val="edge"/>
          <c:x val="0.21590715863805421"/>
          <c:y val="0.91082796228092455"/>
          <c:w val="0.57070532808068264"/>
          <c:h val="7.4051069977139949E-2"/>
        </c:manualLayout>
      </c:layout>
      <c:overlay val="0"/>
      <c:spPr>
        <a:noFill/>
        <a:ln w="25400">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00666633870326E-2"/>
          <c:y val="5.7963709677419352E-2"/>
          <c:w val="0.8941484574626628"/>
          <c:h val="0.74107823215646429"/>
        </c:manualLayout>
      </c:layout>
      <c:lineChart>
        <c:grouping val="standard"/>
        <c:varyColors val="0"/>
        <c:ser>
          <c:idx val="0"/>
          <c:order val="0"/>
          <c:tx>
            <c:strRef>
              <c:f>'2016'!$A$37</c:f>
              <c:strCache>
                <c:ptCount val="1"/>
                <c:pt idx="0">
                  <c:v>18-25 Jahre</c:v>
                </c:pt>
              </c:strCache>
            </c:strRef>
          </c:tx>
          <c:spPr>
            <a:ln w="28575" cap="rnd">
              <a:solidFill>
                <a:schemeClr val="accent1"/>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'2016'!$B$37:$N$37</c:f>
              <c:numCache>
                <c:formatCode>0.0</c:formatCode>
                <c:ptCount val="13"/>
                <c:pt idx="0" formatCode="General">
                  <c:v>100</c:v>
                </c:pt>
                <c:pt idx="1">
                  <c:v>100.75117392079392</c:v>
                </c:pt>
                <c:pt idx="2">
                  <c:v>93.335559702418692</c:v>
                </c:pt>
                <c:pt idx="3">
                  <c:v>85.015332612771985</c:v>
                </c:pt>
                <c:pt idx="4">
                  <c:v>88.754053157570524</c:v>
                </c:pt>
                <c:pt idx="5">
                  <c:v>86.891349427875795</c:v>
                </c:pt>
                <c:pt idx="6">
                  <c:v>84.508307139649759</c:v>
                </c:pt>
                <c:pt idx="7">
                  <c:v>88.51216116505293</c:v>
                </c:pt>
                <c:pt idx="8">
                  <c:v>89.45784152012871</c:v>
                </c:pt>
                <c:pt idx="9">
                  <c:v>88.174144182971432</c:v>
                </c:pt>
                <c:pt idx="10">
                  <c:v>86.920908990394281</c:v>
                </c:pt>
                <c:pt idx="11">
                  <c:v>88.001751009199566</c:v>
                </c:pt>
                <c:pt idx="12">
                  <c:v>85.745295855117519</c:v>
                </c:pt>
              </c:numCache>
            </c:numRef>
          </c:val>
          <c:smooth val="0"/>
        </c:ser>
        <c:ser>
          <c:idx val="1"/>
          <c:order val="1"/>
          <c:tx>
            <c:strRef>
              <c:f>'2016'!$A$38</c:f>
              <c:strCache>
                <c:ptCount val="1"/>
                <c:pt idx="0">
                  <c:v>26-35 Jahre</c:v>
                </c:pt>
              </c:strCache>
            </c:strRef>
          </c:tx>
          <c:spPr>
            <a:ln w="28575" cap="rnd">
              <a:solidFill>
                <a:schemeClr val="accent2"/>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'2016'!$B$38:$N$38</c:f>
              <c:numCache>
                <c:formatCode>0.0</c:formatCode>
                <c:ptCount val="13"/>
                <c:pt idx="0" formatCode="General">
                  <c:v>100</c:v>
                </c:pt>
                <c:pt idx="1">
                  <c:v>101.13714427289212</c:v>
                </c:pt>
                <c:pt idx="2">
                  <c:v>93.273421399371585</c:v>
                </c:pt>
                <c:pt idx="3">
                  <c:v>86.327803867247766</c:v>
                </c:pt>
                <c:pt idx="4">
                  <c:v>87.464385058053765</c:v>
                </c:pt>
                <c:pt idx="5">
                  <c:v>86.664808495782509</c:v>
                </c:pt>
                <c:pt idx="6">
                  <c:v>100.59292543667016</c:v>
                </c:pt>
                <c:pt idx="7">
                  <c:v>105.76427131547237</c:v>
                </c:pt>
                <c:pt idx="8">
                  <c:v>108.19594130432333</c:v>
                </c:pt>
                <c:pt idx="9">
                  <c:v>108.65344549928489</c:v>
                </c:pt>
                <c:pt idx="10">
                  <c:v>108.0895187900492</c:v>
                </c:pt>
                <c:pt idx="11">
                  <c:v>109.80100679076996</c:v>
                </c:pt>
                <c:pt idx="12">
                  <c:v>109.80100679076996</c:v>
                </c:pt>
              </c:numCache>
            </c:numRef>
          </c:val>
          <c:smooth val="0"/>
        </c:ser>
        <c:ser>
          <c:idx val="2"/>
          <c:order val="2"/>
          <c:tx>
            <c:strRef>
              <c:f>'2016'!$A$39</c:f>
              <c:strCache>
                <c:ptCount val="1"/>
                <c:pt idx="0">
                  <c:v>36-45 Jahre</c:v>
                </c:pt>
              </c:strCache>
            </c:strRef>
          </c:tx>
          <c:spPr>
            <a:ln w="28575" cap="rnd">
              <a:solidFill>
                <a:schemeClr val="accent3"/>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'2016'!$B$39:$N$39</c:f>
              <c:numCache>
                <c:formatCode>0.0</c:formatCode>
                <c:ptCount val="13"/>
                <c:pt idx="0" formatCode="General">
                  <c:v>100</c:v>
                </c:pt>
                <c:pt idx="1">
                  <c:v>101.22411337827965</c:v>
                </c:pt>
                <c:pt idx="2">
                  <c:v>94.216793395725716</c:v>
                </c:pt>
                <c:pt idx="3">
                  <c:v>86.579418920552172</c:v>
                </c:pt>
                <c:pt idx="4">
                  <c:v>86.999280087860811</c:v>
                </c:pt>
                <c:pt idx="5">
                  <c:v>84.637758077992231</c:v>
                </c:pt>
                <c:pt idx="6">
                  <c:v>87.820873248170003</c:v>
                </c:pt>
                <c:pt idx="7">
                  <c:v>92.000042038665057</c:v>
                </c:pt>
                <c:pt idx="8">
                  <c:v>94.14296299021025</c:v>
                </c:pt>
                <c:pt idx="9">
                  <c:v>95.879159857278722</c:v>
                </c:pt>
                <c:pt idx="10">
                  <c:v>97.264859354391191</c:v>
                </c:pt>
                <c:pt idx="11">
                  <c:v>99.841829522703492</c:v>
                </c:pt>
                <c:pt idx="12">
                  <c:v>102.46924608909043</c:v>
                </c:pt>
              </c:numCache>
            </c:numRef>
          </c:val>
          <c:smooth val="0"/>
        </c:ser>
        <c:ser>
          <c:idx val="3"/>
          <c:order val="3"/>
          <c:tx>
            <c:strRef>
              <c:f>'2016'!$A$40</c:f>
              <c:strCache>
                <c:ptCount val="1"/>
                <c:pt idx="0">
                  <c:v>46-55 Jahre</c:v>
                </c:pt>
              </c:strCache>
            </c:strRef>
          </c:tx>
          <c:spPr>
            <a:ln w="28575" cap="rnd">
              <a:solidFill>
                <a:schemeClr val="accent4"/>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'2016'!$B$40:$N$40</c:f>
              <c:numCache>
                <c:formatCode>0.0</c:formatCode>
                <c:ptCount val="13"/>
                <c:pt idx="0" formatCode="General">
                  <c:v>100</c:v>
                </c:pt>
                <c:pt idx="1">
                  <c:v>106.94996525364837</c:v>
                </c:pt>
                <c:pt idx="2">
                  <c:v>105.28943710910355</c:v>
                </c:pt>
                <c:pt idx="3">
                  <c:v>102.03370396108409</c:v>
                </c:pt>
                <c:pt idx="4">
                  <c:v>106.00625434329396</c:v>
                </c:pt>
                <c:pt idx="5">
                  <c:v>109.4774148714385</c:v>
                </c:pt>
                <c:pt idx="6">
                  <c:v>104.37387074357191</c:v>
                </c:pt>
                <c:pt idx="7">
                  <c:v>109.86414176511465</c:v>
                </c:pt>
                <c:pt idx="8">
                  <c:v>112.31931897150798</c:v>
                </c:pt>
                <c:pt idx="9">
                  <c:v>115.27345378735232</c:v>
                </c:pt>
                <c:pt idx="10">
                  <c:v>115.74774148714384</c:v>
                </c:pt>
                <c:pt idx="11">
                  <c:v>118.13759555246699</c:v>
                </c:pt>
                <c:pt idx="12">
                  <c:v>121.61223071577484</c:v>
                </c:pt>
              </c:numCache>
            </c:numRef>
          </c:val>
          <c:smooth val="0"/>
        </c:ser>
        <c:ser>
          <c:idx val="4"/>
          <c:order val="4"/>
          <c:tx>
            <c:strRef>
              <c:f>'2016'!$A$41</c:f>
              <c:strCache>
                <c:ptCount val="1"/>
                <c:pt idx="0">
                  <c:v>56-64 Jahre</c:v>
                </c:pt>
              </c:strCache>
            </c:strRef>
          </c:tx>
          <c:spPr>
            <a:ln w="28575" cap="rnd">
              <a:solidFill>
                <a:schemeClr val="accent5"/>
              </a:solidFill>
              <a:round/>
            </a:ln>
            <a:effectLst/>
          </c:spPr>
          <c:marker>
            <c:symbol val="none"/>
          </c:marker>
          <c:cat>
            <c:numRef>
              <c:f>'2016'!$B$36:$N$36</c:f>
              <c:numCache>
                <c:formatCode>General</c:formatCode>
                <c:ptCount val="13"/>
                <c:pt idx="0">
                  <c:v>2005</c:v>
                </c:pt>
                <c:pt idx="2">
                  <c:v>2007</c:v>
                </c:pt>
                <c:pt idx="4">
                  <c:v>2009</c:v>
                </c:pt>
                <c:pt idx="6">
                  <c:v>2011</c:v>
                </c:pt>
                <c:pt idx="8">
                  <c:v>2013</c:v>
                </c:pt>
                <c:pt idx="10">
                  <c:v>2015</c:v>
                </c:pt>
                <c:pt idx="12">
                  <c:v>2017</c:v>
                </c:pt>
              </c:numCache>
            </c:numRef>
          </c:cat>
          <c:val>
            <c:numRef>
              <c:f>'2016'!$B$41:$N$41</c:f>
              <c:numCache>
                <c:formatCode>0.0</c:formatCode>
                <c:ptCount val="13"/>
                <c:pt idx="0" formatCode="General">
                  <c:v>100</c:v>
                </c:pt>
                <c:pt idx="1">
                  <c:v>111.42906950945071</c:v>
                </c:pt>
                <c:pt idx="2">
                  <c:v>110.5822565478769</c:v>
                </c:pt>
                <c:pt idx="3">
                  <c:v>110.2991051146869</c:v>
                </c:pt>
                <c:pt idx="4">
                  <c:v>116.20724994453191</c:v>
                </c:pt>
                <c:pt idx="5">
                  <c:v>121.493095542478</c:v>
                </c:pt>
                <c:pt idx="6">
                  <c:v>117.80525943221798</c:v>
                </c:pt>
                <c:pt idx="7">
                  <c:v>128.82333674946381</c:v>
                </c:pt>
                <c:pt idx="8">
                  <c:v>134.00141575716594</c:v>
                </c:pt>
                <c:pt idx="9">
                  <c:v>141.25188855666727</c:v>
                </c:pt>
                <c:pt idx="10">
                  <c:v>147.34598358144299</c:v>
                </c:pt>
                <c:pt idx="11">
                  <c:v>153.19760377816988</c:v>
                </c:pt>
                <c:pt idx="12">
                  <c:v>153.19760377816988</c:v>
                </c:pt>
              </c:numCache>
            </c:numRef>
          </c:val>
          <c:smooth val="0"/>
        </c:ser>
        <c:dLbls>
          <c:showLegendKey val="0"/>
          <c:showVal val="0"/>
          <c:showCatName val="0"/>
          <c:showSerName val="0"/>
          <c:showPercent val="0"/>
          <c:showBubbleSize val="0"/>
        </c:dLbls>
        <c:smooth val="0"/>
        <c:axId val="567410312"/>
        <c:axId val="515230440"/>
      </c:lineChart>
      <c:catAx>
        <c:axId val="56741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515230440"/>
        <c:crosses val="autoZero"/>
        <c:auto val="1"/>
        <c:lblAlgn val="ctr"/>
        <c:lblOffset val="100"/>
        <c:noMultiLvlLbl val="0"/>
      </c:catAx>
      <c:valAx>
        <c:axId val="515230440"/>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567410312"/>
        <c:crosses val="autoZero"/>
        <c:crossBetween val="between"/>
      </c:valAx>
      <c:spPr>
        <a:noFill/>
        <a:ln w="25400">
          <a:noFill/>
        </a:ln>
      </c:spPr>
    </c:plotArea>
    <c:legend>
      <c:legendPos val="b"/>
      <c:layout>
        <c:manualLayout>
          <c:xMode val="edge"/>
          <c:yMode val="edge"/>
          <c:x val="3.03993147493829E-2"/>
          <c:y val="0.90990363855727707"/>
          <c:w val="0.94900149609193007"/>
          <c:h val="8.0015716281432558E-2"/>
        </c:manualLayout>
      </c:layout>
      <c:overlay val="0"/>
      <c:spPr>
        <a:noFill/>
        <a:ln w="25400">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Erwartete</a:t>
            </a:r>
            <a:r>
              <a:rPr lang="de-CH" baseline="0"/>
              <a:t> Schwierigkeiten bei Stellenverlust wieder eine vergleichbare Stelle zu finden </a:t>
            </a:r>
            <a:endParaRPr lang="de-CH"/>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item29!$L$21:$L$22</c:f>
              <c:strCache>
                <c:ptCount val="2"/>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item29!$K$23:$K$25</c:f>
              <c:strCache>
                <c:ptCount val="3"/>
                <c:pt idx="0">
                  <c:v>16-29 Jahre</c:v>
                </c:pt>
                <c:pt idx="1">
                  <c:v>30-45 Jahre</c:v>
                </c:pt>
                <c:pt idx="2">
                  <c:v>46-65 Jahre</c:v>
                </c:pt>
              </c:strCache>
            </c:strRef>
          </c:cat>
          <c:val>
            <c:numRef>
              <c:f>item29!$L$23:$L$25</c:f>
              <c:numCache>
                <c:formatCode>General</c:formatCode>
                <c:ptCount val="3"/>
                <c:pt idx="0">
                  <c:v>33</c:v>
                </c:pt>
                <c:pt idx="1">
                  <c:v>46.7</c:v>
                </c:pt>
                <c:pt idx="2">
                  <c:v>65.400000000000006</c:v>
                </c:pt>
              </c:numCache>
            </c:numRef>
          </c:val>
        </c:ser>
        <c:ser>
          <c:idx val="1"/>
          <c:order val="1"/>
          <c:tx>
            <c:strRef>
              <c:f>item29!$M$21:$M$22</c:f>
              <c:strCache>
                <c:ptCount val="2"/>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item29!$K$23:$K$25</c:f>
              <c:strCache>
                <c:ptCount val="3"/>
                <c:pt idx="0">
                  <c:v>16-29 Jahre</c:v>
                </c:pt>
                <c:pt idx="1">
                  <c:v>30-45 Jahre</c:v>
                </c:pt>
                <c:pt idx="2">
                  <c:v>46-65 Jahre</c:v>
                </c:pt>
              </c:strCache>
            </c:strRef>
          </c:cat>
          <c:val>
            <c:numRef>
              <c:f>item29!$M$23:$M$25</c:f>
              <c:numCache>
                <c:formatCode>General</c:formatCode>
                <c:ptCount val="3"/>
                <c:pt idx="0">
                  <c:v>33.1</c:v>
                </c:pt>
                <c:pt idx="1">
                  <c:v>46.5</c:v>
                </c:pt>
                <c:pt idx="2">
                  <c:v>69.7</c:v>
                </c:pt>
              </c:numCache>
            </c:numRef>
          </c:val>
        </c:ser>
        <c:dLbls>
          <c:showLegendKey val="0"/>
          <c:showVal val="0"/>
          <c:showCatName val="0"/>
          <c:showSerName val="0"/>
          <c:showPercent val="0"/>
          <c:showBubbleSize val="0"/>
        </c:dLbls>
        <c:gapWidth val="219"/>
        <c:overlap val="-27"/>
        <c:axId val="515230832"/>
        <c:axId val="515230048"/>
      </c:barChart>
      <c:catAx>
        <c:axId val="51523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515230048"/>
        <c:crosses val="autoZero"/>
        <c:auto val="1"/>
        <c:lblAlgn val="ctr"/>
        <c:lblOffset val="100"/>
        <c:noMultiLvlLbl val="0"/>
      </c:catAx>
      <c:valAx>
        <c:axId val="515230048"/>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crossAx val="515230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8141-55B4-414C-B635-501EEB51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Gabriel Fischer</cp:lastModifiedBy>
  <cp:revision>2</cp:revision>
  <cp:lastPrinted>2018-03-15T08:45:00Z</cp:lastPrinted>
  <dcterms:created xsi:type="dcterms:W3CDTF">2019-03-25T14:20:00Z</dcterms:created>
  <dcterms:modified xsi:type="dcterms:W3CDTF">2019-03-25T14:20:00Z</dcterms:modified>
</cp:coreProperties>
</file>