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93" w:rsidRPr="00AD3093" w:rsidRDefault="00AD3093" w:rsidP="00AD3093">
      <w:pPr>
        <w:spacing w:after="0"/>
        <w:rPr>
          <w:szCs w:val="20"/>
        </w:rPr>
      </w:pPr>
      <w:r w:rsidRPr="00AD3093">
        <w:rPr>
          <w:szCs w:val="20"/>
        </w:rPr>
        <w:t>Medienservice Travail</w:t>
      </w:r>
      <w:r w:rsidR="000F4CB7">
        <w:rPr>
          <w:szCs w:val="20"/>
        </w:rPr>
        <w:t xml:space="preserve">.Suisse – Ausgabe vom 2. Oktober </w:t>
      </w:r>
      <w:r w:rsidRPr="00AD3093">
        <w:rPr>
          <w:szCs w:val="20"/>
        </w:rPr>
        <w:t xml:space="preserve"> 2018</w:t>
      </w:r>
    </w:p>
    <w:p w:rsidR="00AD3093" w:rsidRPr="00AD3093" w:rsidRDefault="00AD3093" w:rsidP="00AD3093">
      <w:pPr>
        <w:spacing w:after="0"/>
        <w:rPr>
          <w:b/>
          <w:szCs w:val="20"/>
        </w:rPr>
      </w:pPr>
    </w:p>
    <w:p w:rsidR="00AD3093" w:rsidRDefault="00AD3093" w:rsidP="00AD3093">
      <w:pPr>
        <w:spacing w:after="0"/>
        <w:rPr>
          <w:b/>
          <w:szCs w:val="20"/>
        </w:rPr>
      </w:pPr>
    </w:p>
    <w:p w:rsidR="00AD3093" w:rsidRDefault="00AD3093" w:rsidP="00AD3093">
      <w:pPr>
        <w:spacing w:after="0"/>
        <w:rPr>
          <w:b/>
          <w:szCs w:val="20"/>
        </w:rPr>
      </w:pPr>
    </w:p>
    <w:p w:rsidR="00AD3093" w:rsidRPr="00AD3093" w:rsidRDefault="00AD3093" w:rsidP="00AD3093">
      <w:pPr>
        <w:spacing w:after="0"/>
        <w:rPr>
          <w:b/>
          <w:szCs w:val="20"/>
        </w:rPr>
      </w:pPr>
    </w:p>
    <w:p w:rsidR="00D75C87" w:rsidRPr="00AD3093" w:rsidRDefault="00C3315A" w:rsidP="00AD3093">
      <w:pPr>
        <w:spacing w:after="0"/>
        <w:rPr>
          <w:b/>
          <w:sz w:val="30"/>
          <w:szCs w:val="30"/>
        </w:rPr>
      </w:pPr>
      <w:r w:rsidRPr="00AD3093">
        <w:rPr>
          <w:b/>
          <w:sz w:val="30"/>
          <w:szCs w:val="30"/>
        </w:rPr>
        <w:t>Neun Handlungsfelder im Bereich der Weiterbildungspolitik</w:t>
      </w:r>
    </w:p>
    <w:p w:rsidR="00AD3093" w:rsidRPr="00AD3093" w:rsidRDefault="00AD3093" w:rsidP="00AD3093">
      <w:pPr>
        <w:spacing w:after="0"/>
        <w:rPr>
          <w:b/>
          <w:szCs w:val="20"/>
        </w:rPr>
      </w:pPr>
    </w:p>
    <w:p w:rsidR="00B114B9" w:rsidRDefault="00931510" w:rsidP="00AD3093">
      <w:pPr>
        <w:spacing w:after="0"/>
        <w:rPr>
          <w:b/>
          <w:szCs w:val="20"/>
        </w:rPr>
      </w:pPr>
      <w:r>
        <w:rPr>
          <w:b/>
          <w:szCs w:val="20"/>
        </w:rPr>
        <w:t xml:space="preserve">Am 1. Januar 2017 ist das </w:t>
      </w:r>
      <w:r w:rsidR="00B114B9" w:rsidRPr="00AD3093">
        <w:rPr>
          <w:b/>
          <w:szCs w:val="20"/>
        </w:rPr>
        <w:t>Wei</w:t>
      </w:r>
      <w:r>
        <w:rPr>
          <w:b/>
          <w:szCs w:val="20"/>
        </w:rPr>
        <w:t>terbildungsgesetz (</w:t>
      </w:r>
      <w:proofErr w:type="spellStart"/>
      <w:r>
        <w:rPr>
          <w:b/>
          <w:szCs w:val="20"/>
        </w:rPr>
        <w:t>WeBiG</w:t>
      </w:r>
      <w:proofErr w:type="spellEnd"/>
      <w:r>
        <w:rPr>
          <w:b/>
          <w:szCs w:val="20"/>
        </w:rPr>
        <w:t xml:space="preserve">) in Kraft getreten. </w:t>
      </w:r>
      <w:r w:rsidR="000F4CB7">
        <w:rPr>
          <w:b/>
          <w:szCs w:val="20"/>
        </w:rPr>
        <w:t xml:space="preserve">Man steht damit nicht mehr vor der Aufgabe zu begründen, </w:t>
      </w:r>
      <w:r w:rsidR="00B114B9" w:rsidRPr="00AD3093">
        <w:rPr>
          <w:b/>
          <w:szCs w:val="20"/>
        </w:rPr>
        <w:t>warum es ein Weiterbildungsgesetz braucht. Viel</w:t>
      </w:r>
      <w:r w:rsidR="00E93110">
        <w:rPr>
          <w:b/>
          <w:szCs w:val="20"/>
        </w:rPr>
        <w:softHyphen/>
      </w:r>
      <w:r w:rsidR="00B114B9" w:rsidRPr="00AD3093">
        <w:rPr>
          <w:b/>
          <w:szCs w:val="20"/>
        </w:rPr>
        <w:t xml:space="preserve">mehr müssen jetzt Antworten darauf gefunden werden, wie das </w:t>
      </w:r>
      <w:proofErr w:type="spellStart"/>
      <w:r w:rsidR="0021074D" w:rsidRPr="00AD3093">
        <w:rPr>
          <w:b/>
          <w:szCs w:val="20"/>
        </w:rPr>
        <w:t>WeBiG</w:t>
      </w:r>
      <w:proofErr w:type="spellEnd"/>
      <w:r w:rsidR="0021074D" w:rsidRPr="00AD3093">
        <w:rPr>
          <w:b/>
          <w:szCs w:val="20"/>
        </w:rPr>
        <w:t xml:space="preserve"> </w:t>
      </w:r>
      <w:r w:rsidR="00B114B9" w:rsidRPr="00AD3093">
        <w:rPr>
          <w:b/>
          <w:szCs w:val="20"/>
        </w:rPr>
        <w:t>umgesetzt werden soll. Travail.Suisse, der unabhängige Dachverband der Arbeitnehmenden, hat neun Hand</w:t>
      </w:r>
      <w:r w:rsidR="00E93110">
        <w:rPr>
          <w:b/>
          <w:szCs w:val="20"/>
        </w:rPr>
        <w:softHyphen/>
      </w:r>
      <w:r w:rsidR="00B114B9" w:rsidRPr="00AD3093">
        <w:rPr>
          <w:b/>
          <w:szCs w:val="20"/>
        </w:rPr>
        <w:t xml:space="preserve">lungsfelder identifiziert, </w:t>
      </w:r>
      <w:r>
        <w:rPr>
          <w:b/>
          <w:szCs w:val="20"/>
        </w:rPr>
        <w:t>die</w:t>
      </w:r>
      <w:r w:rsidR="00B114B9" w:rsidRPr="00AD3093">
        <w:rPr>
          <w:b/>
          <w:szCs w:val="20"/>
        </w:rPr>
        <w:t xml:space="preserve"> </w:t>
      </w:r>
      <w:r w:rsidR="00D75C87" w:rsidRPr="00AD3093">
        <w:rPr>
          <w:b/>
          <w:szCs w:val="20"/>
        </w:rPr>
        <w:t xml:space="preserve">politisch bearbeitet werden müssen.  </w:t>
      </w:r>
    </w:p>
    <w:p w:rsidR="00AD3093" w:rsidRDefault="00AD3093" w:rsidP="00AD3093">
      <w:pPr>
        <w:spacing w:after="0"/>
        <w:rPr>
          <w:szCs w:val="20"/>
        </w:rPr>
      </w:pPr>
    </w:p>
    <w:p w:rsidR="00AD3093" w:rsidRPr="00AD3093" w:rsidRDefault="00AD3093" w:rsidP="00AD3093">
      <w:pPr>
        <w:spacing w:after="0"/>
        <w:rPr>
          <w:i/>
          <w:szCs w:val="20"/>
        </w:rPr>
      </w:pPr>
      <w:r w:rsidRPr="00AD3093">
        <w:rPr>
          <w:i/>
          <w:szCs w:val="20"/>
        </w:rPr>
        <w:t>Bruno Weber-</w:t>
      </w:r>
      <w:proofErr w:type="spellStart"/>
      <w:r w:rsidRPr="00AD3093">
        <w:rPr>
          <w:i/>
          <w:szCs w:val="20"/>
        </w:rPr>
        <w:t>Gobet</w:t>
      </w:r>
      <w:proofErr w:type="spellEnd"/>
      <w:r w:rsidRPr="00AD3093">
        <w:rPr>
          <w:i/>
          <w:szCs w:val="20"/>
        </w:rPr>
        <w:t xml:space="preserve">, Leiter Bildungspolitik Travail.Suisse </w:t>
      </w:r>
    </w:p>
    <w:p w:rsidR="00AD3093" w:rsidRPr="00AD3093" w:rsidRDefault="00AD3093" w:rsidP="00AD3093">
      <w:pPr>
        <w:spacing w:after="0"/>
        <w:rPr>
          <w:b/>
          <w:szCs w:val="20"/>
        </w:rPr>
      </w:pPr>
    </w:p>
    <w:p w:rsidR="00B114B9" w:rsidRDefault="0021074D" w:rsidP="00AD3093">
      <w:pPr>
        <w:spacing w:after="0"/>
        <w:rPr>
          <w:szCs w:val="20"/>
        </w:rPr>
      </w:pPr>
      <w:r w:rsidRPr="00AD3093">
        <w:rPr>
          <w:szCs w:val="20"/>
        </w:rPr>
        <w:t xml:space="preserve">Das Weiterbildungsgesetz </w:t>
      </w:r>
      <w:proofErr w:type="spellStart"/>
      <w:r w:rsidRPr="00AD3093">
        <w:rPr>
          <w:szCs w:val="20"/>
        </w:rPr>
        <w:t>WeBiG</w:t>
      </w:r>
      <w:proofErr w:type="spellEnd"/>
      <w:r w:rsidR="00A63FD9" w:rsidRPr="00AD3093">
        <w:rPr>
          <w:rStyle w:val="Funotenzeichen"/>
          <w:szCs w:val="20"/>
        </w:rPr>
        <w:footnoteReference w:id="1"/>
      </w:r>
      <w:r w:rsidRPr="00AD3093">
        <w:rPr>
          <w:szCs w:val="20"/>
        </w:rPr>
        <w:t xml:space="preserve"> soll das lebenslange Lernen im Bildungsraum Schweiz stärken. Zur Weiterbildung gehören alle </w:t>
      </w:r>
      <w:proofErr w:type="spellStart"/>
      <w:r w:rsidRPr="00AD3093">
        <w:rPr>
          <w:szCs w:val="20"/>
        </w:rPr>
        <w:t>nonformalen</w:t>
      </w:r>
      <w:proofErr w:type="spellEnd"/>
      <w:r w:rsidRPr="00AD3093">
        <w:rPr>
          <w:szCs w:val="20"/>
        </w:rPr>
        <w:t xml:space="preserve"> Ausbildungen, angefangen bei den Grundkompetenzen bis hin zu den Weiterbildungen im Hochschulbereich. Auf allen Ebenen gibt es aus Sicht von Travail.Suisse Handlungsbedarf.</w:t>
      </w:r>
    </w:p>
    <w:p w:rsidR="00AD3093" w:rsidRDefault="00AD3093" w:rsidP="00AD3093">
      <w:pPr>
        <w:tabs>
          <w:tab w:val="left" w:pos="2310"/>
        </w:tabs>
        <w:spacing w:after="0"/>
        <w:rPr>
          <w:szCs w:val="20"/>
        </w:rPr>
      </w:pPr>
      <w:r>
        <w:rPr>
          <w:szCs w:val="20"/>
        </w:rPr>
        <w:tab/>
      </w:r>
    </w:p>
    <w:p w:rsidR="00AD3093" w:rsidRPr="00AD3093" w:rsidRDefault="00AD3093" w:rsidP="00AD3093">
      <w:pPr>
        <w:spacing w:after="0"/>
        <w:rPr>
          <w:szCs w:val="20"/>
        </w:rPr>
      </w:pPr>
    </w:p>
    <w:p w:rsidR="0021074D" w:rsidRDefault="0021074D" w:rsidP="00AD3093">
      <w:pPr>
        <w:spacing w:after="0"/>
        <w:rPr>
          <w:b/>
          <w:szCs w:val="20"/>
        </w:rPr>
      </w:pPr>
      <w:r w:rsidRPr="00AD3093">
        <w:rPr>
          <w:b/>
          <w:szCs w:val="20"/>
        </w:rPr>
        <w:t xml:space="preserve">Handlungsfeld </w:t>
      </w:r>
      <w:r w:rsidR="00D64FC5" w:rsidRPr="00AD3093">
        <w:rPr>
          <w:b/>
          <w:szCs w:val="20"/>
        </w:rPr>
        <w:t>„</w:t>
      </w:r>
      <w:r w:rsidRPr="00AD3093">
        <w:rPr>
          <w:b/>
          <w:szCs w:val="20"/>
        </w:rPr>
        <w:t>Grundkompetenzen</w:t>
      </w:r>
      <w:r w:rsidR="00D64FC5" w:rsidRPr="00AD3093">
        <w:rPr>
          <w:b/>
          <w:szCs w:val="20"/>
        </w:rPr>
        <w:t>“</w:t>
      </w:r>
    </w:p>
    <w:p w:rsidR="00AD3093" w:rsidRPr="00AD3093" w:rsidRDefault="00AD3093" w:rsidP="00AD3093">
      <w:pPr>
        <w:spacing w:after="0"/>
        <w:rPr>
          <w:b/>
          <w:szCs w:val="20"/>
        </w:rPr>
      </w:pPr>
    </w:p>
    <w:p w:rsidR="0021074D" w:rsidRDefault="0021074D" w:rsidP="00AD3093">
      <w:pPr>
        <w:spacing w:after="0"/>
        <w:rPr>
          <w:szCs w:val="20"/>
        </w:rPr>
      </w:pPr>
      <w:r w:rsidRPr="00AD3093">
        <w:rPr>
          <w:szCs w:val="20"/>
        </w:rPr>
        <w:t>Im Bere</w:t>
      </w:r>
      <w:r w:rsidR="00700D02">
        <w:rPr>
          <w:szCs w:val="20"/>
        </w:rPr>
        <w:t>ich der Grundkompetenzen stellt sich</w:t>
      </w:r>
      <w:r w:rsidRPr="00AD3093">
        <w:rPr>
          <w:szCs w:val="20"/>
        </w:rPr>
        <w:t xml:space="preserve"> eine zentrale Frage: </w:t>
      </w:r>
      <w:r w:rsidR="00F4245D" w:rsidRPr="00AD3093">
        <w:rPr>
          <w:szCs w:val="20"/>
        </w:rPr>
        <w:t>Wie kann die Zielgruppe der Men</w:t>
      </w:r>
      <w:r w:rsidR="00E93110">
        <w:rPr>
          <w:szCs w:val="20"/>
        </w:rPr>
        <w:softHyphen/>
      </w:r>
      <w:r w:rsidR="00F4245D" w:rsidRPr="00AD3093">
        <w:rPr>
          <w:szCs w:val="20"/>
        </w:rPr>
        <w:t xml:space="preserve">schen mit ungenügenden Grundkompetenzen erreicht werden? </w:t>
      </w:r>
      <w:r w:rsidRPr="00AD3093">
        <w:rPr>
          <w:szCs w:val="20"/>
        </w:rPr>
        <w:t>Nationale Marketingkampagnen sind zu begrüssen und wichtig</w:t>
      </w:r>
      <w:r w:rsidR="00DD56ED" w:rsidRPr="00AD3093">
        <w:rPr>
          <w:rStyle w:val="Funotenzeichen"/>
          <w:szCs w:val="20"/>
        </w:rPr>
        <w:footnoteReference w:id="2"/>
      </w:r>
      <w:r w:rsidRPr="00AD3093">
        <w:rPr>
          <w:szCs w:val="20"/>
        </w:rPr>
        <w:t>. Aber viel wic</w:t>
      </w:r>
      <w:r w:rsidR="00700D02">
        <w:rPr>
          <w:szCs w:val="20"/>
        </w:rPr>
        <w:t xml:space="preserve">htiger ist es, </w:t>
      </w:r>
      <w:r w:rsidRPr="00AD3093">
        <w:rPr>
          <w:szCs w:val="20"/>
        </w:rPr>
        <w:t>Personen mit Problemen im Zusammen</w:t>
      </w:r>
      <w:r w:rsidR="00E93110">
        <w:rPr>
          <w:szCs w:val="20"/>
        </w:rPr>
        <w:softHyphen/>
      </w:r>
      <w:r w:rsidRPr="00AD3093">
        <w:rPr>
          <w:szCs w:val="20"/>
        </w:rPr>
        <w:t>hang mit den G</w:t>
      </w:r>
      <w:r w:rsidR="00931510">
        <w:rPr>
          <w:szCs w:val="20"/>
        </w:rPr>
        <w:t>rundkompetenzen am Arbeitsplatz</w:t>
      </w:r>
      <w:r w:rsidRPr="00AD3093">
        <w:rPr>
          <w:szCs w:val="20"/>
        </w:rPr>
        <w:t xml:space="preserve"> </w:t>
      </w:r>
      <w:r w:rsidR="00F4245D" w:rsidRPr="00AD3093">
        <w:rPr>
          <w:szCs w:val="20"/>
        </w:rPr>
        <w:t>bei den regionalen Arbeitsvermittlungs</w:t>
      </w:r>
      <w:r w:rsidR="000F4CB7">
        <w:rPr>
          <w:szCs w:val="20"/>
        </w:rPr>
        <w:t>zentren</w:t>
      </w:r>
      <w:r w:rsidR="00F4245D" w:rsidRPr="00AD3093">
        <w:rPr>
          <w:szCs w:val="20"/>
        </w:rPr>
        <w:t xml:space="preserve"> RAV </w:t>
      </w:r>
      <w:r w:rsidRPr="00AD3093">
        <w:rPr>
          <w:szCs w:val="20"/>
        </w:rPr>
        <w:t xml:space="preserve">oder bei </w:t>
      </w:r>
      <w:r w:rsidR="00F4245D" w:rsidRPr="00AD3093">
        <w:rPr>
          <w:szCs w:val="20"/>
        </w:rPr>
        <w:t>der</w:t>
      </w:r>
      <w:r w:rsidR="00931510">
        <w:rPr>
          <w:szCs w:val="20"/>
        </w:rPr>
        <w:t xml:space="preserve"> Sozialhilfe darauf</w:t>
      </w:r>
      <w:r w:rsidRPr="00AD3093">
        <w:rPr>
          <w:szCs w:val="20"/>
        </w:rPr>
        <w:t xml:space="preserve"> anzusprechen. Dazu müssen sich aber diese Orte als Teil des politischen Auftrags "Erhalt und Erwerb von Grundkompetenzen" verstehen. </w:t>
      </w:r>
      <w:r w:rsidR="00F4245D" w:rsidRPr="00AD3093">
        <w:rPr>
          <w:szCs w:val="20"/>
        </w:rPr>
        <w:t xml:space="preserve">Diese Einbindung muss gelingen, um das Anliegen „Erhalt und Erwerb von Grundkompetenzen" vorwärtszubringen. </w:t>
      </w:r>
    </w:p>
    <w:p w:rsidR="00AD3093" w:rsidRDefault="00AD3093" w:rsidP="00AD3093">
      <w:pPr>
        <w:spacing w:after="0"/>
        <w:rPr>
          <w:szCs w:val="20"/>
        </w:rPr>
      </w:pPr>
    </w:p>
    <w:p w:rsidR="00AD3093" w:rsidRPr="00AD3093" w:rsidRDefault="00AD3093" w:rsidP="00AD3093">
      <w:pPr>
        <w:spacing w:after="0"/>
        <w:rPr>
          <w:szCs w:val="20"/>
        </w:rPr>
      </w:pPr>
    </w:p>
    <w:p w:rsidR="0021074D" w:rsidRDefault="00F4245D" w:rsidP="00AD3093">
      <w:pPr>
        <w:spacing w:after="0"/>
        <w:rPr>
          <w:b/>
          <w:szCs w:val="20"/>
        </w:rPr>
      </w:pPr>
      <w:r w:rsidRPr="00AD3093">
        <w:rPr>
          <w:b/>
          <w:szCs w:val="20"/>
        </w:rPr>
        <w:t xml:space="preserve">Handlungsfeld </w:t>
      </w:r>
      <w:r w:rsidR="00D64FC5" w:rsidRPr="00AD3093">
        <w:rPr>
          <w:b/>
          <w:szCs w:val="20"/>
        </w:rPr>
        <w:t>„</w:t>
      </w:r>
      <w:proofErr w:type="spellStart"/>
      <w:r w:rsidRPr="00AD3093">
        <w:rPr>
          <w:b/>
          <w:szCs w:val="20"/>
        </w:rPr>
        <w:t>WeBiG</w:t>
      </w:r>
      <w:proofErr w:type="spellEnd"/>
      <w:r w:rsidRPr="00AD3093">
        <w:rPr>
          <w:b/>
          <w:szCs w:val="20"/>
        </w:rPr>
        <w:t xml:space="preserve"> und Berufsbildungsgesetz BBG</w:t>
      </w:r>
      <w:r w:rsidR="00D64FC5" w:rsidRPr="00AD3093">
        <w:rPr>
          <w:b/>
          <w:szCs w:val="20"/>
        </w:rPr>
        <w:t>“</w:t>
      </w:r>
    </w:p>
    <w:p w:rsidR="00AD3093" w:rsidRPr="00AD3093" w:rsidRDefault="00AD3093" w:rsidP="00AD3093">
      <w:pPr>
        <w:spacing w:after="0"/>
        <w:rPr>
          <w:b/>
          <w:szCs w:val="20"/>
        </w:rPr>
      </w:pPr>
    </w:p>
    <w:p w:rsidR="0021074D" w:rsidRDefault="00F4245D" w:rsidP="00AD3093">
      <w:pPr>
        <w:spacing w:after="0"/>
        <w:rPr>
          <w:szCs w:val="20"/>
        </w:rPr>
      </w:pPr>
      <w:r w:rsidRPr="00AD3093">
        <w:rPr>
          <w:szCs w:val="20"/>
        </w:rPr>
        <w:t xml:space="preserve">Das </w:t>
      </w:r>
      <w:proofErr w:type="spellStart"/>
      <w:r w:rsidRPr="00AD3093">
        <w:rPr>
          <w:szCs w:val="20"/>
        </w:rPr>
        <w:t>WeBiG</w:t>
      </w:r>
      <w:proofErr w:type="spellEnd"/>
      <w:r w:rsidRPr="00AD3093">
        <w:rPr>
          <w:szCs w:val="20"/>
        </w:rPr>
        <w:t xml:space="preserve"> ist ein Rahmengesetz. Es legt </w:t>
      </w:r>
      <w:r w:rsidR="00454686">
        <w:rPr>
          <w:szCs w:val="20"/>
        </w:rPr>
        <w:t xml:space="preserve">die </w:t>
      </w:r>
      <w:r w:rsidRPr="00AD3093">
        <w:rPr>
          <w:szCs w:val="20"/>
        </w:rPr>
        <w:t xml:space="preserve">Grundsätze </w:t>
      </w:r>
      <w:r w:rsidR="00454686">
        <w:rPr>
          <w:szCs w:val="20"/>
        </w:rPr>
        <w:t xml:space="preserve">fest, denen alle Gesetze folgen müssen, in denen Weiterbildung ein Thema ist. </w:t>
      </w:r>
      <w:r w:rsidRPr="00AD3093">
        <w:rPr>
          <w:szCs w:val="20"/>
        </w:rPr>
        <w:t xml:space="preserve">Das Berufsbildungsgesetz BBG muss die Anpassung an die Grundsätze des </w:t>
      </w:r>
      <w:proofErr w:type="spellStart"/>
      <w:r w:rsidRPr="00AD3093">
        <w:rPr>
          <w:szCs w:val="20"/>
        </w:rPr>
        <w:t>WeBiG</w:t>
      </w:r>
      <w:proofErr w:type="spellEnd"/>
      <w:r w:rsidRPr="00AD3093">
        <w:rPr>
          <w:szCs w:val="20"/>
        </w:rPr>
        <w:t xml:space="preserve"> noch vornehmen. </w:t>
      </w:r>
      <w:r w:rsidR="007619E1" w:rsidRPr="00AD3093">
        <w:rPr>
          <w:szCs w:val="20"/>
        </w:rPr>
        <w:t>Das heisst die Berufsbildung muss sich überlegen, was im BBG ange</w:t>
      </w:r>
      <w:r w:rsidR="00E93110">
        <w:rPr>
          <w:szCs w:val="20"/>
        </w:rPr>
        <w:softHyphen/>
      </w:r>
      <w:r w:rsidR="007619E1" w:rsidRPr="00AD3093">
        <w:rPr>
          <w:szCs w:val="20"/>
        </w:rPr>
        <w:t>passt werden muss, damit die Grundsätze de</w:t>
      </w:r>
      <w:bookmarkStart w:id="0" w:name="_GoBack"/>
      <w:bookmarkEnd w:id="0"/>
      <w:r w:rsidR="007619E1" w:rsidRPr="00AD3093">
        <w:rPr>
          <w:szCs w:val="20"/>
        </w:rPr>
        <w:t xml:space="preserve">s </w:t>
      </w:r>
      <w:proofErr w:type="spellStart"/>
      <w:r w:rsidR="007619E1" w:rsidRPr="00AD3093">
        <w:rPr>
          <w:szCs w:val="20"/>
        </w:rPr>
        <w:t>WeBiG</w:t>
      </w:r>
      <w:proofErr w:type="spellEnd"/>
      <w:r w:rsidR="007619E1" w:rsidRPr="00AD3093">
        <w:rPr>
          <w:szCs w:val="20"/>
        </w:rPr>
        <w:t xml:space="preserve"> auch im BBG berücksichtigt werden. Diese Arbeit ist bisher nicht gemacht worden.</w:t>
      </w:r>
    </w:p>
    <w:p w:rsidR="00AD3093" w:rsidRDefault="00AD3093" w:rsidP="00AD3093">
      <w:pPr>
        <w:spacing w:after="0"/>
        <w:rPr>
          <w:szCs w:val="20"/>
        </w:rPr>
      </w:pPr>
    </w:p>
    <w:p w:rsidR="00AD3093" w:rsidRPr="00AD3093" w:rsidRDefault="00AD3093" w:rsidP="00AD3093">
      <w:pPr>
        <w:spacing w:after="0"/>
        <w:rPr>
          <w:szCs w:val="20"/>
        </w:rPr>
      </w:pPr>
    </w:p>
    <w:p w:rsidR="00E93110" w:rsidRDefault="00E93110">
      <w:pPr>
        <w:rPr>
          <w:b/>
          <w:szCs w:val="20"/>
        </w:rPr>
      </w:pPr>
      <w:r>
        <w:rPr>
          <w:b/>
          <w:szCs w:val="20"/>
        </w:rPr>
        <w:br w:type="page"/>
      </w:r>
    </w:p>
    <w:p w:rsidR="007619E1" w:rsidRDefault="007619E1" w:rsidP="00AD3093">
      <w:pPr>
        <w:spacing w:after="0"/>
        <w:rPr>
          <w:b/>
          <w:szCs w:val="20"/>
        </w:rPr>
      </w:pPr>
      <w:r w:rsidRPr="00AD3093">
        <w:rPr>
          <w:b/>
          <w:szCs w:val="20"/>
        </w:rPr>
        <w:t xml:space="preserve">Handlungsfeld </w:t>
      </w:r>
      <w:r w:rsidR="00D64FC5" w:rsidRPr="00AD3093">
        <w:rPr>
          <w:b/>
          <w:szCs w:val="20"/>
        </w:rPr>
        <w:t>„</w:t>
      </w:r>
      <w:r w:rsidRPr="00AD3093">
        <w:rPr>
          <w:b/>
          <w:szCs w:val="20"/>
        </w:rPr>
        <w:t>Anpassungsbildung</w:t>
      </w:r>
      <w:r w:rsidR="00D64FC5" w:rsidRPr="00AD3093">
        <w:rPr>
          <w:b/>
          <w:szCs w:val="20"/>
        </w:rPr>
        <w:t>“</w:t>
      </w:r>
    </w:p>
    <w:p w:rsidR="00AD3093" w:rsidRPr="00AD3093" w:rsidRDefault="00AD3093" w:rsidP="00AD3093">
      <w:pPr>
        <w:spacing w:after="0"/>
        <w:rPr>
          <w:b/>
          <w:szCs w:val="20"/>
        </w:rPr>
      </w:pPr>
    </w:p>
    <w:p w:rsidR="004757AD" w:rsidRDefault="007619E1" w:rsidP="00AD3093">
      <w:pPr>
        <w:spacing w:after="0"/>
        <w:rPr>
          <w:szCs w:val="20"/>
        </w:rPr>
      </w:pPr>
      <w:r w:rsidRPr="00AD3093">
        <w:rPr>
          <w:szCs w:val="20"/>
        </w:rPr>
        <w:t xml:space="preserve">Die Weiterbildung dient sowohl zur Höherqualifizierung wie auch </w:t>
      </w:r>
      <w:r w:rsidR="00E93110">
        <w:rPr>
          <w:szCs w:val="20"/>
        </w:rPr>
        <w:t xml:space="preserve">- </w:t>
      </w:r>
      <w:r w:rsidRPr="00AD3093">
        <w:rPr>
          <w:szCs w:val="20"/>
        </w:rPr>
        <w:t>über die Anpassungsbildung</w:t>
      </w:r>
      <w:r w:rsidR="00E93110">
        <w:rPr>
          <w:szCs w:val="20"/>
        </w:rPr>
        <w:t xml:space="preserve"> -</w:t>
      </w:r>
      <w:r w:rsidRPr="00AD3093">
        <w:rPr>
          <w:szCs w:val="20"/>
        </w:rPr>
        <w:t xml:space="preserve"> zum Erhalt der Arbeitsmarktfähigkeit. Angesichts der rasanten technologischen, wirtschaftlichen und sozialen </w:t>
      </w:r>
      <w:r w:rsidRPr="00AD3093">
        <w:rPr>
          <w:szCs w:val="20"/>
        </w:rPr>
        <w:lastRenderedPageBreak/>
        <w:t>Veränderungen stellt sich die Frage, wer für die Anpassungsbi</w:t>
      </w:r>
      <w:r w:rsidR="000F4CB7">
        <w:rPr>
          <w:szCs w:val="20"/>
        </w:rPr>
        <w:t xml:space="preserve">ldung zuständig ist. Das </w:t>
      </w:r>
      <w:proofErr w:type="spellStart"/>
      <w:r w:rsidR="000F4CB7">
        <w:rPr>
          <w:szCs w:val="20"/>
        </w:rPr>
        <w:t>WeBiG</w:t>
      </w:r>
      <w:proofErr w:type="spellEnd"/>
      <w:r w:rsidR="000F4CB7">
        <w:rPr>
          <w:szCs w:val="20"/>
        </w:rPr>
        <w:t xml:space="preserve"> n</w:t>
      </w:r>
      <w:r w:rsidRPr="00AD3093">
        <w:rPr>
          <w:szCs w:val="20"/>
        </w:rPr>
        <w:t xml:space="preserve">ennt zwar im Artikel 5 </w:t>
      </w:r>
      <w:r w:rsidR="004757AD" w:rsidRPr="00AD3093">
        <w:rPr>
          <w:szCs w:val="20"/>
        </w:rPr>
        <w:t>Verantwortlichkeiten, hat aber keine Möglich</w:t>
      </w:r>
      <w:r w:rsidR="000F4CB7">
        <w:rPr>
          <w:szCs w:val="20"/>
        </w:rPr>
        <w:t>keiten, diese</w:t>
      </w:r>
      <w:r w:rsidR="004757AD" w:rsidRPr="00AD3093">
        <w:rPr>
          <w:szCs w:val="20"/>
        </w:rPr>
        <w:t xml:space="preserve"> auch durchzusetzen. Wenn in Bezug auf die Anpassungsbildung etwas geschehen soll, so haben sich d</w:t>
      </w:r>
      <w:r w:rsidRPr="00AD3093">
        <w:rPr>
          <w:szCs w:val="20"/>
        </w:rPr>
        <w:t xml:space="preserve">er Bund, die Kantone und die Wirtschaft </w:t>
      </w:r>
      <w:r w:rsidR="004757AD" w:rsidRPr="00AD3093">
        <w:rPr>
          <w:szCs w:val="20"/>
        </w:rPr>
        <w:t xml:space="preserve">für bestimmte Zielgruppen (z.B. wenig Qualifizierte) auf klare und überprüfbare Ziele und auf Massnahmen zur Erreichung der Ziele zu einigen. </w:t>
      </w:r>
    </w:p>
    <w:p w:rsidR="00AD3093" w:rsidRDefault="00AD3093" w:rsidP="00AD3093">
      <w:pPr>
        <w:spacing w:after="0"/>
        <w:rPr>
          <w:szCs w:val="20"/>
        </w:rPr>
      </w:pPr>
    </w:p>
    <w:p w:rsidR="00AD3093" w:rsidRPr="00AD3093" w:rsidRDefault="00AD3093" w:rsidP="00AD3093">
      <w:pPr>
        <w:spacing w:after="0"/>
        <w:rPr>
          <w:szCs w:val="20"/>
        </w:rPr>
      </w:pPr>
    </w:p>
    <w:p w:rsidR="004757AD" w:rsidRDefault="004757AD" w:rsidP="00AD3093">
      <w:pPr>
        <w:spacing w:after="0"/>
        <w:rPr>
          <w:b/>
          <w:szCs w:val="20"/>
        </w:rPr>
      </w:pPr>
      <w:r w:rsidRPr="00AD3093">
        <w:rPr>
          <w:b/>
          <w:szCs w:val="20"/>
        </w:rPr>
        <w:t>Handlungsfeld „Nationaler Qualifikationsrahmen Berufsbildung“</w:t>
      </w:r>
    </w:p>
    <w:p w:rsidR="00AD3093" w:rsidRPr="00AD3093" w:rsidRDefault="00AD3093" w:rsidP="00AD3093">
      <w:pPr>
        <w:spacing w:after="0"/>
        <w:rPr>
          <w:b/>
          <w:szCs w:val="20"/>
        </w:rPr>
      </w:pPr>
    </w:p>
    <w:p w:rsidR="004757AD" w:rsidRDefault="004757AD" w:rsidP="00AD3093">
      <w:pPr>
        <w:spacing w:after="0"/>
        <w:rPr>
          <w:szCs w:val="20"/>
        </w:rPr>
      </w:pPr>
      <w:r w:rsidRPr="00AD3093">
        <w:rPr>
          <w:szCs w:val="20"/>
        </w:rPr>
        <w:t xml:space="preserve">In den </w:t>
      </w:r>
      <w:r w:rsidR="009E3D3F">
        <w:rPr>
          <w:szCs w:val="20"/>
        </w:rPr>
        <w:t>„N</w:t>
      </w:r>
      <w:r w:rsidRPr="00AD3093">
        <w:rPr>
          <w:szCs w:val="20"/>
        </w:rPr>
        <w:t>ationalen Qualifikationsrahmen Berufsbildung</w:t>
      </w:r>
      <w:r w:rsidR="009E3D3F">
        <w:rPr>
          <w:szCs w:val="20"/>
        </w:rPr>
        <w:t>“</w:t>
      </w:r>
      <w:r w:rsidRPr="00AD3093">
        <w:rPr>
          <w:szCs w:val="20"/>
        </w:rPr>
        <w:t xml:space="preserve"> NQR-BB</w:t>
      </w:r>
      <w:r w:rsidR="00DD56ED" w:rsidRPr="00AD3093">
        <w:rPr>
          <w:rStyle w:val="Funotenzeichen"/>
          <w:szCs w:val="20"/>
        </w:rPr>
        <w:footnoteReference w:id="3"/>
      </w:r>
      <w:r w:rsidRPr="00AD3093">
        <w:rPr>
          <w:szCs w:val="20"/>
        </w:rPr>
        <w:t xml:space="preserve"> werden bisher nur formale Ab</w:t>
      </w:r>
      <w:r w:rsidR="00E93110">
        <w:rPr>
          <w:szCs w:val="20"/>
        </w:rPr>
        <w:softHyphen/>
      </w:r>
      <w:r w:rsidRPr="00AD3093">
        <w:rPr>
          <w:szCs w:val="20"/>
        </w:rPr>
        <w:t>schlüsse eingeordnet. Um der Weiterbildung mehr Wert und Transparenz im Arbeitsmarkt und im Bildungssystem zu geben, ist es politisch angezeigt, unter bestimmten Bedingungen auch Bran</w:t>
      </w:r>
      <w:r w:rsidR="00E93110">
        <w:rPr>
          <w:szCs w:val="20"/>
        </w:rPr>
        <w:softHyphen/>
      </w:r>
      <w:r w:rsidRPr="00AD3093">
        <w:rPr>
          <w:szCs w:val="20"/>
        </w:rPr>
        <w:t>chenzerti</w:t>
      </w:r>
      <w:r w:rsidR="00E93110">
        <w:rPr>
          <w:szCs w:val="20"/>
        </w:rPr>
        <w:t>fikate in den NQR-BB aufzunehmen</w:t>
      </w:r>
      <w:r w:rsidRPr="00AD3093">
        <w:rPr>
          <w:szCs w:val="20"/>
        </w:rPr>
        <w:t xml:space="preserve">. </w:t>
      </w:r>
    </w:p>
    <w:p w:rsidR="00AD3093" w:rsidRDefault="00AD3093" w:rsidP="00AD3093">
      <w:pPr>
        <w:spacing w:after="0"/>
        <w:rPr>
          <w:szCs w:val="20"/>
        </w:rPr>
      </w:pPr>
    </w:p>
    <w:p w:rsidR="00AD3093" w:rsidRPr="00AD3093" w:rsidRDefault="00AD3093" w:rsidP="00AD3093">
      <w:pPr>
        <w:spacing w:after="0"/>
        <w:rPr>
          <w:szCs w:val="20"/>
        </w:rPr>
      </w:pPr>
    </w:p>
    <w:p w:rsidR="004757AD" w:rsidRDefault="00D64FC5" w:rsidP="00AD3093">
      <w:pPr>
        <w:spacing w:after="0"/>
        <w:rPr>
          <w:b/>
          <w:szCs w:val="20"/>
        </w:rPr>
      </w:pPr>
      <w:r w:rsidRPr="00AD3093">
        <w:rPr>
          <w:b/>
          <w:szCs w:val="20"/>
        </w:rPr>
        <w:t>Handlungsfeld „Berufs-, Studien- und Laufbahnberatung“</w:t>
      </w:r>
    </w:p>
    <w:p w:rsidR="00AD3093" w:rsidRPr="00AD3093" w:rsidRDefault="00AD3093" w:rsidP="00AD3093">
      <w:pPr>
        <w:spacing w:after="0"/>
        <w:rPr>
          <w:b/>
          <w:szCs w:val="20"/>
        </w:rPr>
      </w:pPr>
    </w:p>
    <w:p w:rsidR="00AD3093" w:rsidRDefault="004757AD" w:rsidP="00AD3093">
      <w:pPr>
        <w:spacing w:after="0"/>
        <w:rPr>
          <w:szCs w:val="20"/>
        </w:rPr>
      </w:pPr>
      <w:r w:rsidRPr="00AD3093">
        <w:rPr>
          <w:szCs w:val="20"/>
        </w:rPr>
        <w:t>Die Arbeitgeber und Arbeitnehmenden brauchen angesichts der technologischen, wirtschaftlichen und sozialen Veränderungen vermehrt Kompetenzen zur Laufbahngestaltung. Die Berufs-, Studien- und Laufbahnberatung BSLB muss daher aufgewertet und im Bildungs</w:t>
      </w:r>
      <w:r w:rsidR="00D64FC5" w:rsidRPr="00AD3093">
        <w:rPr>
          <w:szCs w:val="20"/>
        </w:rPr>
        <w:t>system neu positioniert wer</w:t>
      </w:r>
      <w:r w:rsidR="00E93110">
        <w:rPr>
          <w:szCs w:val="20"/>
        </w:rPr>
        <w:softHyphen/>
      </w:r>
      <w:r w:rsidR="00D64FC5" w:rsidRPr="00AD3093">
        <w:rPr>
          <w:szCs w:val="20"/>
        </w:rPr>
        <w:t xml:space="preserve">den, gerade auch zur Planung der Weiterbildung. Dazu braucht die </w:t>
      </w:r>
      <w:r w:rsidRPr="00AD3093">
        <w:rPr>
          <w:szCs w:val="20"/>
        </w:rPr>
        <w:t>BSLB einen nationalen Auftrag</w:t>
      </w:r>
      <w:r w:rsidR="009E3D3F">
        <w:rPr>
          <w:szCs w:val="20"/>
        </w:rPr>
        <w:t xml:space="preserve"> statt</w:t>
      </w:r>
      <w:r w:rsidRPr="00AD3093">
        <w:rPr>
          <w:szCs w:val="20"/>
        </w:rPr>
        <w:t xml:space="preserve"> 26 unterschiedliche kantonale Aufträge.</w:t>
      </w:r>
      <w:r w:rsidR="00D64FC5" w:rsidRPr="00AD3093">
        <w:rPr>
          <w:szCs w:val="20"/>
        </w:rPr>
        <w:t xml:space="preserve"> Neu soll</w:t>
      </w:r>
      <w:r w:rsidR="009E3D3F">
        <w:rPr>
          <w:szCs w:val="20"/>
        </w:rPr>
        <w:t xml:space="preserve"> sich</w:t>
      </w:r>
      <w:r w:rsidR="00D64FC5" w:rsidRPr="00AD3093">
        <w:rPr>
          <w:szCs w:val="20"/>
        </w:rPr>
        <w:t xml:space="preserve"> der Bund über eine Pauschale und </w:t>
      </w:r>
      <w:r w:rsidR="009E3D3F">
        <w:rPr>
          <w:szCs w:val="20"/>
        </w:rPr>
        <w:t xml:space="preserve">über </w:t>
      </w:r>
      <w:r w:rsidR="00D64FC5" w:rsidRPr="00AD3093">
        <w:rPr>
          <w:szCs w:val="20"/>
        </w:rPr>
        <w:t xml:space="preserve">Projekte </w:t>
      </w:r>
      <w:r w:rsidR="009E3D3F">
        <w:rPr>
          <w:szCs w:val="20"/>
        </w:rPr>
        <w:t>an</w:t>
      </w:r>
      <w:r w:rsidR="00D64FC5" w:rsidRPr="00AD3093">
        <w:rPr>
          <w:szCs w:val="20"/>
        </w:rPr>
        <w:t xml:space="preserve"> den Kosten </w:t>
      </w:r>
      <w:r w:rsidR="000F4CB7">
        <w:rPr>
          <w:szCs w:val="20"/>
        </w:rPr>
        <w:t>bet</w:t>
      </w:r>
      <w:r w:rsidR="009E3D3F">
        <w:rPr>
          <w:szCs w:val="20"/>
        </w:rPr>
        <w:t>eiligen</w:t>
      </w:r>
      <w:r w:rsidR="00D64FC5" w:rsidRPr="00AD3093">
        <w:rPr>
          <w:szCs w:val="20"/>
        </w:rPr>
        <w:t xml:space="preserve">. </w:t>
      </w:r>
      <w:r w:rsidRPr="00AD3093">
        <w:rPr>
          <w:szCs w:val="20"/>
        </w:rPr>
        <w:t>Die BSLB muss vermehrt national abgestimmte Dienstleistungen für Erwachsene und Betriebe anbieten</w:t>
      </w:r>
      <w:r w:rsidR="00D64FC5" w:rsidRPr="00AD3093">
        <w:rPr>
          <w:szCs w:val="20"/>
        </w:rPr>
        <w:t xml:space="preserve"> und so das </w:t>
      </w:r>
      <w:r w:rsidRPr="00AD3093">
        <w:rPr>
          <w:szCs w:val="20"/>
        </w:rPr>
        <w:t>lebenslange</w:t>
      </w:r>
      <w:r w:rsidR="00D64FC5" w:rsidRPr="00AD3093">
        <w:rPr>
          <w:szCs w:val="20"/>
        </w:rPr>
        <w:t xml:space="preserve"> Lernen stärken. </w:t>
      </w:r>
    </w:p>
    <w:p w:rsidR="00AD3093" w:rsidRDefault="00AD3093" w:rsidP="00AD3093">
      <w:pPr>
        <w:spacing w:after="0"/>
        <w:rPr>
          <w:szCs w:val="20"/>
        </w:rPr>
      </w:pPr>
    </w:p>
    <w:p w:rsidR="00AD3093" w:rsidRDefault="00AD3093" w:rsidP="00AD3093">
      <w:pPr>
        <w:spacing w:after="0"/>
        <w:rPr>
          <w:szCs w:val="20"/>
        </w:rPr>
      </w:pPr>
    </w:p>
    <w:p w:rsidR="007619E1" w:rsidRDefault="00D64FC5" w:rsidP="00AD3093">
      <w:pPr>
        <w:spacing w:after="0"/>
        <w:rPr>
          <w:b/>
          <w:szCs w:val="20"/>
        </w:rPr>
      </w:pPr>
      <w:r w:rsidRPr="00AD3093">
        <w:rPr>
          <w:b/>
          <w:szCs w:val="20"/>
        </w:rPr>
        <w:t xml:space="preserve">Handlungsfeld „Hochschulweiterbildung“ </w:t>
      </w:r>
    </w:p>
    <w:p w:rsidR="00AD3093" w:rsidRPr="00AD3093" w:rsidRDefault="00AD3093" w:rsidP="00AD3093">
      <w:pPr>
        <w:spacing w:after="0"/>
        <w:rPr>
          <w:b/>
          <w:szCs w:val="20"/>
        </w:rPr>
      </w:pPr>
    </w:p>
    <w:p w:rsidR="00B114B9" w:rsidRDefault="000F4CB7" w:rsidP="00AD3093">
      <w:pPr>
        <w:spacing w:after="0"/>
        <w:rPr>
          <w:szCs w:val="20"/>
        </w:rPr>
      </w:pPr>
      <w:r>
        <w:rPr>
          <w:szCs w:val="20"/>
        </w:rPr>
        <w:t xml:space="preserve">Gemäss </w:t>
      </w:r>
      <w:proofErr w:type="spellStart"/>
      <w:r>
        <w:rPr>
          <w:szCs w:val="20"/>
        </w:rPr>
        <w:t>WeBiG</w:t>
      </w:r>
      <w:proofErr w:type="spellEnd"/>
      <w:r>
        <w:rPr>
          <w:szCs w:val="20"/>
        </w:rPr>
        <w:t xml:space="preserve"> Artikel 2.2 liegt</w:t>
      </w:r>
      <w:r w:rsidR="00D64FC5" w:rsidRPr="00AD3093">
        <w:rPr>
          <w:szCs w:val="20"/>
        </w:rPr>
        <w:t xml:space="preserve"> es in der Zuständigkeit der hochschulpolitischen Organe, die Grund</w:t>
      </w:r>
      <w:r>
        <w:rPr>
          <w:szCs w:val="20"/>
        </w:rPr>
        <w:t>-</w:t>
      </w:r>
      <w:r w:rsidR="00D64FC5" w:rsidRPr="00AD3093">
        <w:rPr>
          <w:szCs w:val="20"/>
        </w:rPr>
        <w:t>sätze des Weiterbildungsgesetzes umzusetzen. Bei der Umsetzung muss dabei darauf geachtet werden, dass es zu keinen Wettbewerbsverzerrungen gegenüber der Höheren Berufsbildung (Art. 3i HFKG) kommt. Insbesondere sind klare Regeln zu definieren im Zusammenhang mit der Durchfüh</w:t>
      </w:r>
      <w:r w:rsidR="00E93110">
        <w:rPr>
          <w:szCs w:val="20"/>
        </w:rPr>
        <w:softHyphen/>
      </w:r>
      <w:r w:rsidR="00D64FC5" w:rsidRPr="00AD3093">
        <w:rPr>
          <w:szCs w:val="20"/>
        </w:rPr>
        <w:t xml:space="preserve">rung </w:t>
      </w:r>
      <w:r w:rsidR="00B114B9" w:rsidRPr="00AD3093">
        <w:rPr>
          <w:szCs w:val="20"/>
        </w:rPr>
        <w:t>von Vorbereitungskursen im Hinblick auf Berufsprüfungen und Höhere Fachprüfungen.</w:t>
      </w:r>
      <w:r w:rsidR="00D64FC5" w:rsidRPr="00AD3093">
        <w:rPr>
          <w:szCs w:val="20"/>
        </w:rPr>
        <w:t xml:space="preserve"> </w:t>
      </w:r>
    </w:p>
    <w:p w:rsidR="00AD3093" w:rsidRDefault="00AD3093" w:rsidP="00AD3093">
      <w:pPr>
        <w:spacing w:after="0"/>
        <w:rPr>
          <w:szCs w:val="20"/>
        </w:rPr>
      </w:pPr>
    </w:p>
    <w:p w:rsidR="00AD3093" w:rsidRPr="00AD3093" w:rsidRDefault="00AD3093" w:rsidP="00AD3093">
      <w:pPr>
        <w:spacing w:after="0"/>
        <w:rPr>
          <w:szCs w:val="20"/>
        </w:rPr>
      </w:pPr>
    </w:p>
    <w:p w:rsidR="00B114B9" w:rsidRDefault="007D4524" w:rsidP="00AD3093">
      <w:pPr>
        <w:spacing w:after="0"/>
        <w:rPr>
          <w:b/>
          <w:szCs w:val="20"/>
        </w:rPr>
      </w:pPr>
      <w:r w:rsidRPr="00AD3093">
        <w:rPr>
          <w:b/>
          <w:szCs w:val="20"/>
        </w:rPr>
        <w:t xml:space="preserve">Handlungsfeld „Weiterbildung und Menschen mit Sehbehinderungen“ </w:t>
      </w:r>
    </w:p>
    <w:p w:rsidR="00AD3093" w:rsidRPr="00AD3093" w:rsidRDefault="00AD3093" w:rsidP="00AD3093">
      <w:pPr>
        <w:spacing w:after="0"/>
        <w:rPr>
          <w:b/>
          <w:szCs w:val="20"/>
        </w:rPr>
      </w:pPr>
    </w:p>
    <w:p w:rsidR="00B114B9" w:rsidRDefault="007D4524" w:rsidP="00AD3093">
      <w:pPr>
        <w:spacing w:after="0"/>
        <w:rPr>
          <w:szCs w:val="20"/>
        </w:rPr>
      </w:pPr>
      <w:r w:rsidRPr="00AD3093">
        <w:rPr>
          <w:szCs w:val="20"/>
        </w:rPr>
        <w:t xml:space="preserve">Gemäss Artikel 8 </w:t>
      </w:r>
      <w:proofErr w:type="spellStart"/>
      <w:r w:rsidRPr="00AD3093">
        <w:rPr>
          <w:szCs w:val="20"/>
        </w:rPr>
        <w:t>WeBiG</w:t>
      </w:r>
      <w:proofErr w:type="spellEnd"/>
      <w:r w:rsidRPr="00AD3093">
        <w:rPr>
          <w:szCs w:val="20"/>
        </w:rPr>
        <w:t xml:space="preserve"> sind Bund und Kantone bestrebt, „mit der von ihnen geregelten und unter</w:t>
      </w:r>
      <w:r w:rsidR="00E93110">
        <w:rPr>
          <w:szCs w:val="20"/>
        </w:rPr>
        <w:softHyphen/>
      </w:r>
      <w:r w:rsidRPr="00AD3093">
        <w:rPr>
          <w:szCs w:val="20"/>
        </w:rPr>
        <w:t>stützten Weiterbildung</w:t>
      </w:r>
      <w:r w:rsidR="009E3D3F">
        <w:rPr>
          <w:szCs w:val="20"/>
        </w:rPr>
        <w:t xml:space="preserve"> insbesondere: (</w:t>
      </w:r>
      <w:r w:rsidRPr="00AD3093">
        <w:rPr>
          <w:szCs w:val="20"/>
        </w:rPr>
        <w:t>…</w:t>
      </w:r>
      <w:r w:rsidR="009E3D3F">
        <w:rPr>
          <w:szCs w:val="20"/>
        </w:rPr>
        <w:t xml:space="preserve">) </w:t>
      </w:r>
      <w:r w:rsidRPr="00AD3093">
        <w:rPr>
          <w:szCs w:val="20"/>
        </w:rPr>
        <w:t>b. den besonderen Bedürfnissen von Menschen mit Be</w:t>
      </w:r>
      <w:r w:rsidR="00E93110">
        <w:rPr>
          <w:szCs w:val="20"/>
        </w:rPr>
        <w:softHyphen/>
      </w:r>
      <w:r w:rsidRPr="00AD3093">
        <w:rPr>
          <w:szCs w:val="20"/>
        </w:rPr>
        <w:t>hinderungen Rechnung zu tragen</w:t>
      </w:r>
      <w:r w:rsidR="009E3D3F">
        <w:rPr>
          <w:szCs w:val="20"/>
        </w:rPr>
        <w:t>;</w:t>
      </w:r>
      <w:r w:rsidRPr="00AD3093">
        <w:rPr>
          <w:szCs w:val="20"/>
        </w:rPr>
        <w:t xml:space="preserve">“. </w:t>
      </w:r>
      <w:r w:rsidR="00B114B9" w:rsidRPr="00AD3093">
        <w:rPr>
          <w:szCs w:val="20"/>
        </w:rPr>
        <w:t>Für blinde und sehbehinderte Menschen ist der Zugang zur öf</w:t>
      </w:r>
      <w:r w:rsidR="00E93110">
        <w:rPr>
          <w:szCs w:val="20"/>
        </w:rPr>
        <w:softHyphen/>
      </w:r>
      <w:r w:rsidR="00B114B9" w:rsidRPr="00AD3093">
        <w:rPr>
          <w:szCs w:val="20"/>
        </w:rPr>
        <w:t xml:space="preserve">fentlichen Weiterbildung durch verschiedene Barrieren </w:t>
      </w:r>
      <w:r w:rsidRPr="00AD3093">
        <w:rPr>
          <w:szCs w:val="20"/>
        </w:rPr>
        <w:t xml:space="preserve">(z.B. nicht barrierefreie Texte) </w:t>
      </w:r>
      <w:r w:rsidR="00B114B9" w:rsidRPr="00AD3093">
        <w:rPr>
          <w:szCs w:val="20"/>
        </w:rPr>
        <w:t>erschwert. Tra</w:t>
      </w:r>
      <w:r w:rsidRPr="00AD3093">
        <w:rPr>
          <w:szCs w:val="20"/>
        </w:rPr>
        <w:t>vail.Suisse Formation führt ein</w:t>
      </w:r>
      <w:r w:rsidR="00B114B9" w:rsidRPr="00AD3093">
        <w:rPr>
          <w:szCs w:val="20"/>
        </w:rPr>
        <w:t xml:space="preserve"> Projekt unter dem Titel «Für Menschen mit einer Sehbehinderung den Zugang zur öffentlichen Weiterbildung verbessern»</w:t>
      </w:r>
      <w:r w:rsidRPr="00AD3093">
        <w:rPr>
          <w:szCs w:val="20"/>
        </w:rPr>
        <w:t xml:space="preserve"> durch. Dabei wird unter anderem eine </w:t>
      </w:r>
      <w:proofErr w:type="spellStart"/>
      <w:r w:rsidRPr="00AD3093">
        <w:rPr>
          <w:szCs w:val="20"/>
        </w:rPr>
        <w:t>Krite</w:t>
      </w:r>
      <w:r w:rsidR="00E93110">
        <w:rPr>
          <w:szCs w:val="20"/>
        </w:rPr>
        <w:softHyphen/>
      </w:r>
      <w:r w:rsidRPr="00AD3093">
        <w:rPr>
          <w:szCs w:val="20"/>
        </w:rPr>
        <w:t>rienliste</w:t>
      </w:r>
      <w:proofErr w:type="spellEnd"/>
      <w:r w:rsidRPr="00AD3093">
        <w:rPr>
          <w:szCs w:val="20"/>
        </w:rPr>
        <w:t xml:space="preserve"> erarbeitet, </w:t>
      </w:r>
      <w:r w:rsidR="009E3D3F">
        <w:rPr>
          <w:szCs w:val="20"/>
        </w:rPr>
        <w:t>die</w:t>
      </w:r>
      <w:r w:rsidRPr="00AD3093">
        <w:rPr>
          <w:szCs w:val="20"/>
        </w:rPr>
        <w:t xml:space="preserve"> Bildungsanbieter</w:t>
      </w:r>
      <w:r w:rsidR="00C3315A" w:rsidRPr="00AD3093">
        <w:rPr>
          <w:szCs w:val="20"/>
        </w:rPr>
        <w:t>n</w:t>
      </w:r>
      <w:r w:rsidRPr="00AD3093">
        <w:rPr>
          <w:szCs w:val="20"/>
        </w:rPr>
        <w:t xml:space="preserve"> helfen soll, Weiterbildungen so zu gestalten, dass auch blinde und sehbehinderte Menschen erfolgreich </w:t>
      </w:r>
      <w:r w:rsidR="00C3315A" w:rsidRPr="00AD3093">
        <w:rPr>
          <w:szCs w:val="20"/>
        </w:rPr>
        <w:t xml:space="preserve">daran </w:t>
      </w:r>
      <w:r w:rsidRPr="00AD3093">
        <w:rPr>
          <w:szCs w:val="20"/>
        </w:rPr>
        <w:t>teilnehmen können</w:t>
      </w:r>
      <w:r w:rsidR="000F4CB7">
        <w:rPr>
          <w:szCs w:val="20"/>
        </w:rPr>
        <w:t xml:space="preserve">. Ziel muss </w:t>
      </w:r>
      <w:r w:rsidR="00C3315A" w:rsidRPr="00AD3093">
        <w:rPr>
          <w:szCs w:val="20"/>
        </w:rPr>
        <w:t>sein, dass d</w:t>
      </w:r>
      <w:r w:rsidR="00B114B9" w:rsidRPr="00AD3093">
        <w:rPr>
          <w:szCs w:val="20"/>
        </w:rPr>
        <w:t xml:space="preserve">ie </w:t>
      </w:r>
      <w:r w:rsidR="00B114B9" w:rsidRPr="00AD3093">
        <w:rPr>
          <w:szCs w:val="20"/>
        </w:rPr>
        <w:lastRenderedPageBreak/>
        <w:t xml:space="preserve">Anbieter von öffentlichen Weiterbildungen </w:t>
      </w:r>
      <w:r w:rsidR="00C3315A" w:rsidRPr="00AD3093">
        <w:rPr>
          <w:szCs w:val="20"/>
        </w:rPr>
        <w:t xml:space="preserve">diese </w:t>
      </w:r>
      <w:proofErr w:type="spellStart"/>
      <w:r w:rsidR="00B114B9" w:rsidRPr="00AD3093">
        <w:rPr>
          <w:szCs w:val="20"/>
        </w:rPr>
        <w:t>Kriterienliste</w:t>
      </w:r>
      <w:proofErr w:type="spellEnd"/>
      <w:r w:rsidR="00B114B9" w:rsidRPr="00AD3093">
        <w:rPr>
          <w:szCs w:val="20"/>
        </w:rPr>
        <w:t xml:space="preserve"> </w:t>
      </w:r>
      <w:r w:rsidR="00C3315A" w:rsidRPr="00AD3093">
        <w:rPr>
          <w:szCs w:val="20"/>
        </w:rPr>
        <w:t xml:space="preserve">verwenden </w:t>
      </w:r>
      <w:r w:rsidR="00B114B9" w:rsidRPr="00AD3093">
        <w:rPr>
          <w:szCs w:val="20"/>
        </w:rPr>
        <w:t xml:space="preserve">und </w:t>
      </w:r>
      <w:r w:rsidR="00C3315A" w:rsidRPr="00AD3093">
        <w:rPr>
          <w:szCs w:val="20"/>
        </w:rPr>
        <w:t xml:space="preserve">so </w:t>
      </w:r>
      <w:r w:rsidR="00B114B9" w:rsidRPr="00AD3093">
        <w:rPr>
          <w:szCs w:val="20"/>
        </w:rPr>
        <w:t>den blinden und sehbehinderten Menschen einen barrierefreie</w:t>
      </w:r>
      <w:r w:rsidR="00C3315A" w:rsidRPr="00AD3093">
        <w:rPr>
          <w:szCs w:val="20"/>
        </w:rPr>
        <w:t xml:space="preserve">n Zugang zu ihrer Weiterbildung ermöglichen. </w:t>
      </w:r>
    </w:p>
    <w:p w:rsidR="00AD3093" w:rsidRDefault="00AD3093" w:rsidP="00AD3093">
      <w:pPr>
        <w:spacing w:after="0"/>
        <w:rPr>
          <w:szCs w:val="20"/>
        </w:rPr>
      </w:pPr>
    </w:p>
    <w:p w:rsidR="009E3D3F" w:rsidRPr="00AD3093" w:rsidRDefault="009E3D3F" w:rsidP="00AD3093">
      <w:pPr>
        <w:spacing w:after="0"/>
        <w:rPr>
          <w:szCs w:val="20"/>
        </w:rPr>
      </w:pPr>
    </w:p>
    <w:p w:rsidR="00B114B9" w:rsidRDefault="00C3315A" w:rsidP="00AD3093">
      <w:pPr>
        <w:spacing w:after="0"/>
        <w:rPr>
          <w:b/>
          <w:szCs w:val="20"/>
        </w:rPr>
      </w:pPr>
      <w:r w:rsidRPr="00AD3093">
        <w:rPr>
          <w:b/>
          <w:szCs w:val="20"/>
        </w:rPr>
        <w:t xml:space="preserve">Handlungsfeld „Gesamtarbeitsverträge und Weiterbildung“ </w:t>
      </w:r>
    </w:p>
    <w:p w:rsidR="00AD3093" w:rsidRPr="00AD3093" w:rsidRDefault="00AD3093" w:rsidP="00AD3093">
      <w:pPr>
        <w:spacing w:after="0"/>
        <w:rPr>
          <w:b/>
          <w:szCs w:val="20"/>
        </w:rPr>
      </w:pPr>
    </w:p>
    <w:p w:rsidR="00B114B9" w:rsidRDefault="00C3315A" w:rsidP="00AD3093">
      <w:pPr>
        <w:spacing w:after="0"/>
        <w:rPr>
          <w:szCs w:val="20"/>
        </w:rPr>
      </w:pPr>
      <w:r w:rsidRPr="00AD3093">
        <w:rPr>
          <w:szCs w:val="20"/>
        </w:rPr>
        <w:t>Die Sozialpartner haben die Möglichkeit, unabhängig von der Politik über das Instrument der Ge</w:t>
      </w:r>
      <w:r w:rsidR="00E93110">
        <w:rPr>
          <w:szCs w:val="20"/>
        </w:rPr>
        <w:softHyphen/>
      </w:r>
      <w:r w:rsidRPr="00AD3093">
        <w:rPr>
          <w:szCs w:val="20"/>
        </w:rPr>
        <w:t xml:space="preserve">samtarbeitsverträge </w:t>
      </w:r>
      <w:r w:rsidR="009E3D3F">
        <w:rPr>
          <w:szCs w:val="20"/>
        </w:rPr>
        <w:t>GAV</w:t>
      </w:r>
      <w:r w:rsidR="00A63FD9" w:rsidRPr="00AD3093">
        <w:rPr>
          <w:szCs w:val="20"/>
        </w:rPr>
        <w:t xml:space="preserve"> </w:t>
      </w:r>
      <w:r w:rsidRPr="00AD3093">
        <w:rPr>
          <w:szCs w:val="20"/>
        </w:rPr>
        <w:t xml:space="preserve">die Weiterbildung zu stärken. Travail.Suisse und </w:t>
      </w:r>
      <w:r w:rsidR="000F4CB7">
        <w:rPr>
          <w:szCs w:val="20"/>
        </w:rPr>
        <w:t>die angeschlossenen Verbände</w:t>
      </w:r>
      <w:r w:rsidRPr="00AD3093">
        <w:rPr>
          <w:szCs w:val="20"/>
        </w:rPr>
        <w:t xml:space="preserve"> sind bestrebt, </w:t>
      </w:r>
      <w:r w:rsidR="00A63FD9" w:rsidRPr="00AD3093">
        <w:rPr>
          <w:szCs w:val="20"/>
        </w:rPr>
        <w:t>das lebenslange Lernen auch über den GAV zu fördern, und zwar für alle Angestellten</w:t>
      </w:r>
      <w:r w:rsidR="00DD56ED" w:rsidRPr="00AD3093">
        <w:rPr>
          <w:rStyle w:val="Funotenzeichen"/>
          <w:szCs w:val="20"/>
        </w:rPr>
        <w:footnoteReference w:id="4"/>
      </w:r>
      <w:r w:rsidR="00A63FD9" w:rsidRPr="00AD3093">
        <w:rPr>
          <w:szCs w:val="20"/>
        </w:rPr>
        <w:t>, auch für die wenig qualifizierte</w:t>
      </w:r>
      <w:r w:rsidR="000F4CB7">
        <w:rPr>
          <w:szCs w:val="20"/>
        </w:rPr>
        <w:t>n</w:t>
      </w:r>
      <w:r w:rsidR="00A63FD9" w:rsidRPr="00AD3093">
        <w:rPr>
          <w:szCs w:val="20"/>
        </w:rPr>
        <w:t xml:space="preserve"> und Menschen mit Behinderungen</w:t>
      </w:r>
      <w:r w:rsidR="00DD56ED" w:rsidRPr="00AD3093">
        <w:rPr>
          <w:rStyle w:val="Funotenzeichen"/>
          <w:szCs w:val="20"/>
        </w:rPr>
        <w:footnoteReference w:id="5"/>
      </w:r>
      <w:r w:rsidR="00A63FD9" w:rsidRPr="00AD3093">
        <w:rPr>
          <w:szCs w:val="20"/>
        </w:rPr>
        <w:t xml:space="preserve">. </w:t>
      </w:r>
    </w:p>
    <w:p w:rsidR="00AD3093" w:rsidRDefault="00AD3093" w:rsidP="00AD3093">
      <w:pPr>
        <w:spacing w:after="0"/>
        <w:rPr>
          <w:szCs w:val="20"/>
        </w:rPr>
      </w:pPr>
    </w:p>
    <w:p w:rsidR="00AD3093" w:rsidRPr="00AD3093" w:rsidRDefault="00AD3093" w:rsidP="00AD3093">
      <w:pPr>
        <w:spacing w:after="0"/>
        <w:rPr>
          <w:szCs w:val="20"/>
        </w:rPr>
      </w:pPr>
    </w:p>
    <w:p w:rsidR="004757AD" w:rsidRDefault="00A63FD9" w:rsidP="00AD3093">
      <w:pPr>
        <w:spacing w:after="0"/>
        <w:rPr>
          <w:b/>
          <w:szCs w:val="20"/>
        </w:rPr>
      </w:pPr>
      <w:r w:rsidRPr="00AD3093">
        <w:rPr>
          <w:b/>
          <w:szCs w:val="20"/>
        </w:rPr>
        <w:t xml:space="preserve">Handlungsfeld „Weiterbildung und die Senioren“ </w:t>
      </w:r>
    </w:p>
    <w:p w:rsidR="00AD3093" w:rsidRPr="00AD3093" w:rsidRDefault="00AD3093" w:rsidP="00AD3093">
      <w:pPr>
        <w:spacing w:after="0"/>
        <w:rPr>
          <w:b/>
          <w:szCs w:val="20"/>
        </w:rPr>
      </w:pPr>
    </w:p>
    <w:p w:rsidR="00B114B9" w:rsidRPr="00AD3093" w:rsidRDefault="00B114B9" w:rsidP="00AD3093">
      <w:pPr>
        <w:spacing w:after="0"/>
        <w:rPr>
          <w:szCs w:val="20"/>
        </w:rPr>
      </w:pPr>
      <w:r w:rsidRPr="00AD3093">
        <w:rPr>
          <w:szCs w:val="20"/>
        </w:rPr>
        <w:t>Angesichts der dem</w:t>
      </w:r>
      <w:r w:rsidR="00700D02">
        <w:rPr>
          <w:szCs w:val="20"/>
        </w:rPr>
        <w:t xml:space="preserve">ografischen Entwicklung verfügt </w:t>
      </w:r>
      <w:r w:rsidRPr="00AD3093">
        <w:rPr>
          <w:szCs w:val="20"/>
        </w:rPr>
        <w:t>die Gruppe der Seniorinne</w:t>
      </w:r>
      <w:r w:rsidR="00700D02">
        <w:rPr>
          <w:szCs w:val="20"/>
        </w:rPr>
        <w:t>n und Senioren über ein grosses Potenz</w:t>
      </w:r>
      <w:r w:rsidRPr="00AD3093">
        <w:rPr>
          <w:szCs w:val="20"/>
        </w:rPr>
        <w:t>ial zur Lösung von gesellschaf</w:t>
      </w:r>
      <w:r w:rsidR="00700D02">
        <w:rPr>
          <w:szCs w:val="20"/>
        </w:rPr>
        <w:t>tlichen Problemen. Dieses Potenz</w:t>
      </w:r>
      <w:r w:rsidRPr="00AD3093">
        <w:rPr>
          <w:szCs w:val="20"/>
        </w:rPr>
        <w:t>ial sollte besser genutzt werden. Dazu braucht es eine Strategie und Weiterbildungsmassnahmen.</w:t>
      </w:r>
      <w:r w:rsidR="00A63FD9" w:rsidRPr="00AD3093">
        <w:rPr>
          <w:szCs w:val="20"/>
        </w:rPr>
        <w:t xml:space="preserve"> </w:t>
      </w:r>
      <w:r w:rsidRPr="00AD3093">
        <w:rPr>
          <w:szCs w:val="20"/>
        </w:rPr>
        <w:t>Die Kantone ent</w:t>
      </w:r>
      <w:r w:rsidR="00E93110">
        <w:rPr>
          <w:szCs w:val="20"/>
        </w:rPr>
        <w:softHyphen/>
      </w:r>
      <w:r w:rsidRPr="00AD3093">
        <w:rPr>
          <w:szCs w:val="20"/>
        </w:rPr>
        <w:t>wickeln zusammen mit dem Bu</w:t>
      </w:r>
      <w:r w:rsidR="00700D02">
        <w:rPr>
          <w:szCs w:val="20"/>
        </w:rPr>
        <w:t>nd eine Strategie, um das Potenz</w:t>
      </w:r>
      <w:r w:rsidRPr="00AD3093">
        <w:rPr>
          <w:szCs w:val="20"/>
        </w:rPr>
        <w:t>ial der Senioren und Seniorinnen zur Lösung von gesellschaftlichen Problemen besser nutzen zu können.</w:t>
      </w:r>
      <w:r w:rsidR="00A63FD9" w:rsidRPr="00AD3093">
        <w:rPr>
          <w:szCs w:val="20"/>
        </w:rPr>
        <w:t xml:space="preserve"> </w:t>
      </w:r>
      <w:r w:rsidRPr="00AD3093">
        <w:rPr>
          <w:szCs w:val="20"/>
        </w:rPr>
        <w:t>Der Bund unterstützt eine Organisation der Weiterbildung</w:t>
      </w:r>
      <w:r w:rsidR="00A63FD9" w:rsidRPr="00AD3093">
        <w:rPr>
          <w:szCs w:val="20"/>
        </w:rPr>
        <w:t xml:space="preserve"> (</w:t>
      </w:r>
      <w:proofErr w:type="spellStart"/>
      <w:r w:rsidR="00A63FD9" w:rsidRPr="00AD3093">
        <w:rPr>
          <w:szCs w:val="20"/>
        </w:rPr>
        <w:t>WeBiG</w:t>
      </w:r>
      <w:proofErr w:type="spellEnd"/>
      <w:r w:rsidR="00A63FD9" w:rsidRPr="00AD3093">
        <w:rPr>
          <w:szCs w:val="20"/>
        </w:rPr>
        <w:t xml:space="preserve"> Art. 12)</w:t>
      </w:r>
      <w:r w:rsidRPr="00AD3093">
        <w:rPr>
          <w:szCs w:val="20"/>
        </w:rPr>
        <w:t xml:space="preserve">, die sich dem </w:t>
      </w:r>
      <w:r w:rsidR="00700D02">
        <w:rPr>
          <w:szCs w:val="20"/>
        </w:rPr>
        <w:t>Thema «Seniori</w:t>
      </w:r>
      <w:r w:rsidR="00A63FD9" w:rsidRPr="00AD3093">
        <w:rPr>
          <w:szCs w:val="20"/>
        </w:rPr>
        <w:t>nnen</w:t>
      </w:r>
      <w:r w:rsidR="00700D02">
        <w:rPr>
          <w:szCs w:val="20"/>
        </w:rPr>
        <w:t xml:space="preserve"> und Senioren</w:t>
      </w:r>
      <w:r w:rsidR="00A63FD9" w:rsidRPr="00AD3093">
        <w:rPr>
          <w:szCs w:val="20"/>
        </w:rPr>
        <w:t xml:space="preserve">» widmet. </w:t>
      </w:r>
    </w:p>
    <w:p w:rsidR="00B114B9" w:rsidRDefault="00B114B9"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Default="00390875" w:rsidP="00AD3093">
      <w:pPr>
        <w:spacing w:after="0"/>
        <w:rPr>
          <w:szCs w:val="20"/>
        </w:rPr>
      </w:pPr>
    </w:p>
    <w:p w:rsidR="00390875" w:rsidRPr="00F7100E" w:rsidRDefault="00390875" w:rsidP="00E93110">
      <w:pPr>
        <w:spacing w:after="0"/>
        <w:jc w:val="center"/>
        <w:rPr>
          <w:szCs w:val="20"/>
        </w:rPr>
      </w:pPr>
      <w:r w:rsidRPr="00F7100E">
        <w:rPr>
          <w:szCs w:val="20"/>
        </w:rPr>
        <w:t>Travail.Suisse, Hopfenweg 21, 3001 Bern, Tel. 031 370 21 11, info@travailsuisse.ch,</w:t>
      </w:r>
    </w:p>
    <w:p w:rsidR="00390875" w:rsidRPr="00E93110" w:rsidRDefault="00454686" w:rsidP="00E93110">
      <w:pPr>
        <w:spacing w:after="0"/>
        <w:jc w:val="center"/>
        <w:rPr>
          <w:szCs w:val="20"/>
        </w:rPr>
      </w:pPr>
      <w:hyperlink r:id="rId7" w:history="1">
        <w:r w:rsidR="00390875" w:rsidRPr="00E93110">
          <w:rPr>
            <w:rStyle w:val="Hyperlink"/>
            <w:szCs w:val="20"/>
          </w:rPr>
          <w:t>www.travailsuisse.ch</w:t>
        </w:r>
      </w:hyperlink>
    </w:p>
    <w:sectPr w:rsidR="00390875" w:rsidRPr="00E93110" w:rsidSect="00E93110">
      <w:pgSz w:w="11906" w:h="16838"/>
      <w:pgMar w:top="1418"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D9" w:rsidRDefault="00A63FD9" w:rsidP="00A63FD9">
      <w:pPr>
        <w:spacing w:after="0" w:line="240" w:lineRule="auto"/>
      </w:pPr>
      <w:r>
        <w:separator/>
      </w:r>
    </w:p>
  </w:endnote>
  <w:endnote w:type="continuationSeparator" w:id="0">
    <w:p w:rsidR="00A63FD9" w:rsidRDefault="00A63FD9" w:rsidP="00A6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D9" w:rsidRDefault="00A63FD9" w:rsidP="00A63FD9">
      <w:pPr>
        <w:spacing w:after="0" w:line="240" w:lineRule="auto"/>
      </w:pPr>
      <w:r>
        <w:separator/>
      </w:r>
    </w:p>
  </w:footnote>
  <w:footnote w:type="continuationSeparator" w:id="0">
    <w:p w:rsidR="00A63FD9" w:rsidRDefault="00A63FD9" w:rsidP="00A63FD9">
      <w:pPr>
        <w:spacing w:after="0" w:line="240" w:lineRule="auto"/>
      </w:pPr>
      <w:r>
        <w:continuationSeparator/>
      </w:r>
    </w:p>
  </w:footnote>
  <w:footnote w:id="1">
    <w:p w:rsidR="00A63FD9" w:rsidRPr="00A750CF" w:rsidRDefault="00A63FD9" w:rsidP="009E3D3F">
      <w:pPr>
        <w:pStyle w:val="Funotentext"/>
        <w:ind w:left="142" w:hanging="142"/>
        <w:rPr>
          <w:sz w:val="16"/>
          <w:szCs w:val="16"/>
        </w:rPr>
      </w:pPr>
      <w:r w:rsidRPr="00A750CF">
        <w:rPr>
          <w:rStyle w:val="Funotenzeichen"/>
          <w:sz w:val="16"/>
          <w:szCs w:val="16"/>
        </w:rPr>
        <w:footnoteRef/>
      </w:r>
      <w:r w:rsidRPr="00A750CF">
        <w:rPr>
          <w:sz w:val="16"/>
          <w:szCs w:val="16"/>
        </w:rPr>
        <w:t xml:space="preserve"> </w:t>
      </w:r>
      <w:hyperlink r:id="rId1" w:history="1">
        <w:r w:rsidRPr="00A750CF">
          <w:rPr>
            <w:rStyle w:val="Hyperlink"/>
            <w:sz w:val="16"/>
            <w:szCs w:val="16"/>
          </w:rPr>
          <w:t>https://www.admin.ch/opc/de/classified-compilation/20141724/index.html</w:t>
        </w:r>
      </w:hyperlink>
      <w:r w:rsidRPr="00A750CF">
        <w:rPr>
          <w:sz w:val="16"/>
          <w:szCs w:val="16"/>
        </w:rPr>
        <w:t xml:space="preserve"> </w:t>
      </w:r>
    </w:p>
  </w:footnote>
  <w:footnote w:id="2">
    <w:p w:rsidR="00DD56ED" w:rsidRPr="00A750CF" w:rsidRDefault="00DD56ED" w:rsidP="009E3D3F">
      <w:pPr>
        <w:pStyle w:val="Funotentext"/>
        <w:ind w:left="142" w:hanging="142"/>
        <w:rPr>
          <w:sz w:val="16"/>
          <w:szCs w:val="16"/>
        </w:rPr>
      </w:pPr>
      <w:r w:rsidRPr="00A750CF">
        <w:rPr>
          <w:rStyle w:val="Funotenzeichen"/>
          <w:sz w:val="16"/>
          <w:szCs w:val="16"/>
        </w:rPr>
        <w:footnoteRef/>
      </w:r>
      <w:r w:rsidRPr="00A750CF">
        <w:rPr>
          <w:sz w:val="16"/>
          <w:szCs w:val="16"/>
        </w:rPr>
        <w:t xml:space="preserve"> </w:t>
      </w:r>
      <w:hyperlink r:id="rId2" w:history="1">
        <w:r w:rsidRPr="00A750CF">
          <w:rPr>
            <w:rStyle w:val="Hyperlink"/>
            <w:sz w:val="16"/>
            <w:szCs w:val="16"/>
          </w:rPr>
          <w:t>https://www.besser-jetzt.ch/</w:t>
        </w:r>
      </w:hyperlink>
      <w:r w:rsidRPr="00A750CF">
        <w:rPr>
          <w:sz w:val="16"/>
          <w:szCs w:val="16"/>
        </w:rPr>
        <w:t xml:space="preserve"> </w:t>
      </w:r>
    </w:p>
  </w:footnote>
  <w:footnote w:id="3">
    <w:p w:rsidR="00DD56ED" w:rsidRPr="00A750CF" w:rsidRDefault="00DD56ED" w:rsidP="009E3D3F">
      <w:pPr>
        <w:pStyle w:val="Funotentext"/>
        <w:ind w:left="142" w:hanging="142"/>
        <w:rPr>
          <w:sz w:val="16"/>
          <w:szCs w:val="16"/>
        </w:rPr>
      </w:pPr>
      <w:r w:rsidRPr="00A750CF">
        <w:rPr>
          <w:rStyle w:val="Funotenzeichen"/>
          <w:sz w:val="16"/>
          <w:szCs w:val="16"/>
        </w:rPr>
        <w:footnoteRef/>
      </w:r>
      <w:r w:rsidRPr="00A750CF">
        <w:rPr>
          <w:sz w:val="16"/>
          <w:szCs w:val="16"/>
        </w:rPr>
        <w:t xml:space="preserve"> </w:t>
      </w:r>
      <w:hyperlink r:id="rId3" w:history="1">
        <w:r w:rsidRPr="00A750CF">
          <w:rPr>
            <w:rStyle w:val="Hyperlink"/>
            <w:sz w:val="16"/>
            <w:szCs w:val="16"/>
          </w:rPr>
          <w:t>https://www.sbfi.admin.ch/sbfi/de/home/bildung/mobilitaet/nqr.html</w:t>
        </w:r>
      </w:hyperlink>
      <w:r w:rsidRPr="00A750CF">
        <w:rPr>
          <w:sz w:val="16"/>
          <w:szCs w:val="16"/>
        </w:rPr>
        <w:t xml:space="preserve"> </w:t>
      </w:r>
    </w:p>
  </w:footnote>
  <w:footnote w:id="4">
    <w:p w:rsidR="00DD56ED" w:rsidRPr="00A750CF" w:rsidRDefault="00DD56ED" w:rsidP="009E3D3F">
      <w:pPr>
        <w:pStyle w:val="Funotentext"/>
        <w:ind w:left="142" w:hanging="142"/>
        <w:rPr>
          <w:sz w:val="16"/>
          <w:szCs w:val="16"/>
        </w:rPr>
      </w:pPr>
      <w:r w:rsidRPr="00A750CF">
        <w:rPr>
          <w:rStyle w:val="Funotenzeichen"/>
          <w:sz w:val="16"/>
          <w:szCs w:val="16"/>
        </w:rPr>
        <w:footnoteRef/>
      </w:r>
      <w:r w:rsidRPr="00A750CF">
        <w:rPr>
          <w:sz w:val="16"/>
          <w:szCs w:val="16"/>
        </w:rPr>
        <w:t xml:space="preserve"> </w:t>
      </w:r>
      <w:hyperlink r:id="rId4" w:history="1">
        <w:r w:rsidRPr="00A750CF">
          <w:rPr>
            <w:rStyle w:val="Hyperlink"/>
            <w:sz w:val="16"/>
            <w:szCs w:val="16"/>
          </w:rPr>
          <w:t>https://www.transfair.ch/Ressourcen/PDF/Communication/GAV/GAV_Swisscom_2018_de-de.pdf</w:t>
        </w:r>
      </w:hyperlink>
      <w:r w:rsidRPr="00A750CF">
        <w:rPr>
          <w:sz w:val="16"/>
          <w:szCs w:val="16"/>
        </w:rPr>
        <w:t xml:space="preserve">, Kapitel 2.4 </w:t>
      </w:r>
    </w:p>
  </w:footnote>
  <w:footnote w:id="5">
    <w:p w:rsidR="00DD56ED" w:rsidRPr="00A750CF" w:rsidRDefault="00DD56ED" w:rsidP="009E3D3F">
      <w:pPr>
        <w:pStyle w:val="Funotentext"/>
        <w:ind w:left="142" w:hanging="142"/>
        <w:rPr>
          <w:sz w:val="16"/>
          <w:szCs w:val="16"/>
        </w:rPr>
      </w:pPr>
      <w:r w:rsidRPr="00A750CF">
        <w:rPr>
          <w:rStyle w:val="Funotenzeichen"/>
          <w:sz w:val="16"/>
          <w:szCs w:val="16"/>
        </w:rPr>
        <w:footnoteRef/>
      </w:r>
      <w:r w:rsidRPr="00A750CF">
        <w:rPr>
          <w:sz w:val="16"/>
          <w:szCs w:val="16"/>
        </w:rPr>
        <w:t xml:space="preserve"> </w:t>
      </w:r>
      <w:hyperlink r:id="rId5" w:history="1">
        <w:r w:rsidRPr="00A750CF">
          <w:rPr>
            <w:rStyle w:val="Hyperlink"/>
            <w:sz w:val="16"/>
            <w:szCs w:val="16"/>
          </w:rPr>
          <w:t>https://ts-paperclip.s3-eu-west-1.amazonaws.com/system/uploadedfiles/4616/original/Integration_druck.pdf?1522244770</w:t>
        </w:r>
      </w:hyperlink>
      <w:r w:rsidRPr="00A750CF">
        <w:rPr>
          <w:sz w:val="16"/>
          <w:szCs w:val="16"/>
        </w:rPr>
        <w:t xml:space="preserve">; Seite 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9"/>
    <w:rsid w:val="000F4CB7"/>
    <w:rsid w:val="0021074D"/>
    <w:rsid w:val="00390875"/>
    <w:rsid w:val="00454686"/>
    <w:rsid w:val="004757AD"/>
    <w:rsid w:val="00700D02"/>
    <w:rsid w:val="007619E1"/>
    <w:rsid w:val="007D4524"/>
    <w:rsid w:val="00931510"/>
    <w:rsid w:val="00946EBF"/>
    <w:rsid w:val="009E3D3F"/>
    <w:rsid w:val="00A63FD9"/>
    <w:rsid w:val="00A750CF"/>
    <w:rsid w:val="00AD3093"/>
    <w:rsid w:val="00B114B9"/>
    <w:rsid w:val="00C3315A"/>
    <w:rsid w:val="00D64FC5"/>
    <w:rsid w:val="00D75C87"/>
    <w:rsid w:val="00DD56ED"/>
    <w:rsid w:val="00E93110"/>
    <w:rsid w:val="00F424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66224-0025-4C89-82BA-E8C8BAE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63FD9"/>
    <w:pPr>
      <w:spacing w:after="0" w:line="240" w:lineRule="auto"/>
    </w:pPr>
    <w:rPr>
      <w:szCs w:val="20"/>
    </w:rPr>
  </w:style>
  <w:style w:type="character" w:customStyle="1" w:styleId="FunotentextZchn">
    <w:name w:val="Fußnotentext Zchn"/>
    <w:basedOn w:val="Absatz-Standardschriftart"/>
    <w:link w:val="Funotentext"/>
    <w:uiPriority w:val="99"/>
    <w:semiHidden/>
    <w:rsid w:val="00A63FD9"/>
    <w:rPr>
      <w:szCs w:val="20"/>
    </w:rPr>
  </w:style>
  <w:style w:type="character" w:styleId="Funotenzeichen">
    <w:name w:val="footnote reference"/>
    <w:basedOn w:val="Absatz-Standardschriftart"/>
    <w:uiPriority w:val="99"/>
    <w:semiHidden/>
    <w:unhideWhenUsed/>
    <w:rsid w:val="00A63FD9"/>
    <w:rPr>
      <w:vertAlign w:val="superscript"/>
    </w:rPr>
  </w:style>
  <w:style w:type="character" w:styleId="Hyperlink">
    <w:name w:val="Hyperlink"/>
    <w:basedOn w:val="Absatz-Standardschriftart"/>
    <w:uiPriority w:val="99"/>
    <w:unhideWhenUsed/>
    <w:rsid w:val="00A63FD9"/>
    <w:rPr>
      <w:color w:val="0563C1" w:themeColor="hyperlink"/>
      <w:u w:val="single"/>
    </w:rPr>
  </w:style>
  <w:style w:type="character" w:styleId="BesuchterHyperlink">
    <w:name w:val="FollowedHyperlink"/>
    <w:basedOn w:val="Absatz-Standardschriftart"/>
    <w:uiPriority w:val="99"/>
    <w:semiHidden/>
    <w:unhideWhenUsed/>
    <w:rsid w:val="00DD56ED"/>
    <w:rPr>
      <w:color w:val="954F72" w:themeColor="followedHyperlink"/>
      <w:u w:val="single"/>
    </w:rPr>
  </w:style>
  <w:style w:type="paragraph" w:styleId="Kopfzeile">
    <w:name w:val="header"/>
    <w:basedOn w:val="Standard"/>
    <w:link w:val="KopfzeileZchn"/>
    <w:uiPriority w:val="99"/>
    <w:unhideWhenUsed/>
    <w:rsid w:val="00A75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50CF"/>
  </w:style>
  <w:style w:type="paragraph" w:styleId="Fuzeile">
    <w:name w:val="footer"/>
    <w:basedOn w:val="Standard"/>
    <w:link w:val="FuzeileZchn"/>
    <w:uiPriority w:val="99"/>
    <w:unhideWhenUsed/>
    <w:rsid w:val="00A75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bfi.admin.ch/sbfi/de/home/bildung/mobilitaet/nqr.html" TargetMode="External"/><Relationship Id="rId2" Type="http://schemas.openxmlformats.org/officeDocument/2006/relationships/hyperlink" Target="https://www.besser-jetzt.ch/" TargetMode="External"/><Relationship Id="rId1" Type="http://schemas.openxmlformats.org/officeDocument/2006/relationships/hyperlink" Target="https://www.admin.ch/opc/de/classified-compilation/20141724/index.html" TargetMode="External"/><Relationship Id="rId5" Type="http://schemas.openxmlformats.org/officeDocument/2006/relationships/hyperlink" Target="https://ts-paperclip.s3-eu-west-1.amazonaws.com/system/uploadedfiles/4616/original/Integration_druck.pdf?1522244770" TargetMode="External"/><Relationship Id="rId4" Type="http://schemas.openxmlformats.org/officeDocument/2006/relationships/hyperlink" Target="https://www.transfair.ch/Ressourcen/PDF/Communication/GAV/GAV_Swisscom_2018_de-d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042C-B9A0-4E05-9CA8-94DCD6E8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Therese Schmid</cp:lastModifiedBy>
  <cp:revision>7</cp:revision>
  <cp:lastPrinted>2018-10-02T06:59:00Z</cp:lastPrinted>
  <dcterms:created xsi:type="dcterms:W3CDTF">2018-09-26T06:41:00Z</dcterms:created>
  <dcterms:modified xsi:type="dcterms:W3CDTF">2018-10-02T07:13:00Z</dcterms:modified>
</cp:coreProperties>
</file>