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B" w:rsidRPr="00A00448" w:rsidRDefault="00417F48" w:rsidP="00C660DC">
      <w:pPr>
        <w:spacing w:line="300" w:lineRule="exact"/>
        <w:rPr>
          <w:rFonts w:ascii="Arial" w:hAnsi="Arial" w:cs="Arial"/>
          <w:sz w:val="20"/>
          <w:szCs w:val="20"/>
        </w:rPr>
      </w:pPr>
      <w:r>
        <w:rPr>
          <w:rFonts w:ascii="Arial" w:hAnsi="Arial"/>
          <w:sz w:val="20"/>
          <w:szCs w:val="20"/>
        </w:rPr>
        <w:t>Travail.Suisse Medienservice – Ausgabe vom 3. Juli 2018</w:t>
      </w:r>
    </w:p>
    <w:p w:rsidR="00063EBB" w:rsidRPr="003C757B" w:rsidRDefault="00063EBB" w:rsidP="00C660DC">
      <w:pPr>
        <w:spacing w:line="300" w:lineRule="exact"/>
        <w:rPr>
          <w:rFonts w:ascii="Arial" w:hAnsi="Arial" w:cs="Arial"/>
          <w:sz w:val="20"/>
          <w:szCs w:val="20"/>
        </w:rPr>
      </w:pPr>
    </w:p>
    <w:p w:rsidR="00063EBB" w:rsidRPr="003C757B" w:rsidRDefault="00063EBB" w:rsidP="00C660DC">
      <w:pPr>
        <w:spacing w:line="300" w:lineRule="exact"/>
        <w:rPr>
          <w:rFonts w:ascii="Arial" w:hAnsi="Arial" w:cs="Arial"/>
          <w:sz w:val="20"/>
          <w:szCs w:val="20"/>
        </w:rPr>
      </w:pPr>
    </w:p>
    <w:p w:rsidR="00C660DC" w:rsidRPr="003C757B" w:rsidRDefault="00C660DC" w:rsidP="00C660DC">
      <w:pPr>
        <w:spacing w:line="300" w:lineRule="exact"/>
        <w:rPr>
          <w:rFonts w:ascii="Arial" w:hAnsi="Arial" w:cs="Arial"/>
          <w:sz w:val="20"/>
          <w:szCs w:val="20"/>
        </w:rPr>
      </w:pPr>
    </w:p>
    <w:p w:rsidR="00C660DC" w:rsidRPr="003C757B" w:rsidRDefault="00C660DC" w:rsidP="00C660DC">
      <w:pPr>
        <w:spacing w:line="300" w:lineRule="exact"/>
        <w:rPr>
          <w:rFonts w:ascii="Arial" w:hAnsi="Arial" w:cs="Arial"/>
          <w:sz w:val="20"/>
          <w:szCs w:val="20"/>
        </w:rPr>
      </w:pPr>
    </w:p>
    <w:p w:rsidR="00AF4C23" w:rsidRPr="00A00448" w:rsidRDefault="008C7EF4" w:rsidP="00C660DC">
      <w:pPr>
        <w:spacing w:line="300" w:lineRule="exact"/>
        <w:rPr>
          <w:rFonts w:ascii="Arial" w:hAnsi="Arial" w:cs="Arial"/>
          <w:b/>
          <w:sz w:val="30"/>
          <w:szCs w:val="30"/>
        </w:rPr>
      </w:pPr>
      <w:r>
        <w:rPr>
          <w:rFonts w:ascii="Arial" w:hAnsi="Arial"/>
          <w:b/>
          <w:sz w:val="30"/>
          <w:szCs w:val="30"/>
        </w:rPr>
        <w:t>Die Schweiz erlebt gerade ein «Momentum» der Gleichstellung</w:t>
      </w:r>
    </w:p>
    <w:p w:rsidR="007B636C" w:rsidRPr="00D55457" w:rsidRDefault="007B636C" w:rsidP="00C660DC">
      <w:pPr>
        <w:spacing w:line="300" w:lineRule="exact"/>
        <w:rPr>
          <w:rFonts w:ascii="Arial" w:hAnsi="Arial" w:cs="Arial"/>
          <w:sz w:val="20"/>
          <w:szCs w:val="20"/>
        </w:rPr>
      </w:pPr>
    </w:p>
    <w:p w:rsidR="00390654" w:rsidRDefault="00413661" w:rsidP="00390654">
      <w:pPr>
        <w:spacing w:line="300" w:lineRule="atLeast"/>
        <w:rPr>
          <w:rFonts w:ascii="Arial" w:hAnsi="Arial" w:cs="Arial"/>
          <w:b/>
          <w:bCs/>
          <w:sz w:val="20"/>
          <w:szCs w:val="20"/>
        </w:rPr>
      </w:pPr>
      <w:r>
        <w:rPr>
          <w:rFonts w:ascii="Arial" w:hAnsi="Arial"/>
          <w:b/>
          <w:bCs/>
          <w:sz w:val="20"/>
          <w:szCs w:val="20"/>
        </w:rPr>
        <w:t>Die #</w:t>
      </w:r>
      <w:proofErr w:type="spellStart"/>
      <w:r>
        <w:rPr>
          <w:rFonts w:ascii="Arial" w:hAnsi="Arial"/>
          <w:b/>
          <w:bCs/>
          <w:sz w:val="20"/>
          <w:szCs w:val="20"/>
        </w:rPr>
        <w:t>metoo</w:t>
      </w:r>
      <w:proofErr w:type="spellEnd"/>
      <w:r>
        <w:rPr>
          <w:rFonts w:ascii="Arial" w:hAnsi="Arial"/>
          <w:b/>
          <w:bCs/>
          <w:sz w:val="20"/>
          <w:szCs w:val="20"/>
        </w:rPr>
        <w:t>-Bewegung wird mit Kundgebungen, einem landesweiten Streik, aber auch mit Tagungen, Forderungskatalogen und humoristischen Kampagnen in den sozialen Netzwerken weitergeführt. Das «Momentum» der Gleichstellung ist bereits da. Auch Travail.Suisse beteiligt sich mit seinem Positionspapier zur Gleichstellung daran. Kündigt sich für den Herbst 2018 eine Aufwärmrunde für die nationalen Wahlen an?</w:t>
      </w:r>
    </w:p>
    <w:p w:rsidR="005C09D8" w:rsidRDefault="005C09D8" w:rsidP="00390654">
      <w:pPr>
        <w:spacing w:line="300" w:lineRule="atLeast"/>
        <w:rPr>
          <w:rFonts w:ascii="Arial" w:hAnsi="Arial" w:cs="Arial"/>
          <w:bCs/>
          <w:sz w:val="20"/>
          <w:szCs w:val="20"/>
          <w:lang w:eastAsia="fr-CH"/>
        </w:rPr>
      </w:pPr>
    </w:p>
    <w:p w:rsidR="003C757B" w:rsidRPr="003C757B" w:rsidRDefault="003C757B" w:rsidP="00390654">
      <w:pPr>
        <w:spacing w:line="300" w:lineRule="atLeast"/>
        <w:rPr>
          <w:rFonts w:ascii="Arial" w:hAnsi="Arial" w:cs="Arial"/>
          <w:bCs/>
          <w:i/>
          <w:sz w:val="20"/>
          <w:szCs w:val="20"/>
          <w:lang w:eastAsia="fr-CH"/>
        </w:rPr>
      </w:pPr>
      <w:r w:rsidRPr="003C757B">
        <w:rPr>
          <w:rFonts w:ascii="Arial" w:hAnsi="Arial" w:cs="Arial"/>
          <w:bCs/>
          <w:i/>
          <w:sz w:val="20"/>
          <w:szCs w:val="20"/>
          <w:lang w:eastAsia="fr-CH"/>
        </w:rPr>
        <w:t>Von Valérie Borioli Sandoz, Leiterin Gleichstellungspolitik Travail.Suisse</w:t>
      </w:r>
    </w:p>
    <w:p w:rsidR="003C757B" w:rsidRPr="00D55457" w:rsidRDefault="003C757B" w:rsidP="00390654">
      <w:pPr>
        <w:spacing w:line="300" w:lineRule="atLeast"/>
        <w:rPr>
          <w:rFonts w:ascii="Arial" w:hAnsi="Arial" w:cs="Arial"/>
          <w:bCs/>
          <w:sz w:val="20"/>
          <w:szCs w:val="20"/>
          <w:lang w:eastAsia="fr-CH"/>
        </w:rPr>
      </w:pPr>
    </w:p>
    <w:p w:rsidR="00875D2F" w:rsidRDefault="002F6332" w:rsidP="00390654">
      <w:pPr>
        <w:spacing w:line="300" w:lineRule="atLeast"/>
        <w:rPr>
          <w:rFonts w:ascii="Arial" w:hAnsi="Arial" w:cs="Arial"/>
          <w:bCs/>
          <w:sz w:val="20"/>
          <w:szCs w:val="20"/>
        </w:rPr>
      </w:pPr>
      <w:r>
        <w:rPr>
          <w:rFonts w:ascii="Arial" w:hAnsi="Arial"/>
          <w:bCs/>
          <w:sz w:val="20"/>
          <w:szCs w:val="20"/>
        </w:rPr>
        <w:t xml:space="preserve">Das Ausmass der internationalen Mobilisierung gegen sexuelle Belästigung, nachdem Opfer aus der Kino- und Kunstszene ihre Stimme erhoben hatten, </w:t>
      </w:r>
      <w:r w:rsidR="003C757B">
        <w:rPr>
          <w:rFonts w:ascii="Arial" w:hAnsi="Arial"/>
          <w:bCs/>
          <w:sz w:val="20"/>
          <w:szCs w:val="20"/>
        </w:rPr>
        <w:t xml:space="preserve">war und </w:t>
      </w:r>
      <w:r>
        <w:rPr>
          <w:rFonts w:ascii="Arial" w:hAnsi="Arial"/>
          <w:bCs/>
          <w:sz w:val="20"/>
          <w:szCs w:val="20"/>
        </w:rPr>
        <w:t xml:space="preserve">ist beispiellos. Seit Herbst 2017 wird das </w:t>
      </w:r>
      <w:r w:rsidR="00D55457">
        <w:rPr>
          <w:rFonts w:ascii="Arial" w:hAnsi="Arial"/>
          <w:bCs/>
          <w:sz w:val="20"/>
          <w:szCs w:val="20"/>
        </w:rPr>
        <w:t>mit dem Hashtag #</w:t>
      </w:r>
      <w:proofErr w:type="spellStart"/>
      <w:r w:rsidR="00D55457">
        <w:rPr>
          <w:rFonts w:ascii="Arial" w:hAnsi="Arial"/>
          <w:bCs/>
          <w:sz w:val="20"/>
          <w:szCs w:val="20"/>
        </w:rPr>
        <w:t>metoo</w:t>
      </w:r>
      <w:proofErr w:type="spellEnd"/>
      <w:r w:rsidR="00D55457">
        <w:rPr>
          <w:rFonts w:ascii="Arial" w:hAnsi="Arial"/>
          <w:bCs/>
          <w:sz w:val="20"/>
          <w:szCs w:val="20"/>
        </w:rPr>
        <w:t xml:space="preserve"> </w:t>
      </w:r>
      <w:r>
        <w:rPr>
          <w:rFonts w:ascii="Arial" w:hAnsi="Arial"/>
          <w:bCs/>
          <w:sz w:val="20"/>
          <w:szCs w:val="20"/>
        </w:rPr>
        <w:t xml:space="preserve">in den sozialen Netzwerken in Gang gesetzte Bewusstwerden in Medien, Unternehmen, internationalen Organisationen und Gesprächen zwischen Einzelnen weitergeführt. Es vergeht keine Woche, ohne dass ein Manager oder ein bekannter Schauspieler </w:t>
      </w:r>
      <w:r w:rsidR="00D55457">
        <w:rPr>
          <w:rFonts w:ascii="Arial" w:hAnsi="Arial"/>
          <w:bCs/>
          <w:sz w:val="20"/>
          <w:szCs w:val="20"/>
        </w:rPr>
        <w:t xml:space="preserve">öffentlich </w:t>
      </w:r>
      <w:r>
        <w:rPr>
          <w:rFonts w:ascii="Arial" w:hAnsi="Arial"/>
          <w:bCs/>
          <w:sz w:val="20"/>
          <w:szCs w:val="20"/>
        </w:rPr>
        <w:t xml:space="preserve">der Belästigung </w:t>
      </w:r>
      <w:r w:rsidR="00D55457">
        <w:rPr>
          <w:rFonts w:ascii="Arial" w:hAnsi="Arial"/>
          <w:bCs/>
          <w:sz w:val="20"/>
          <w:szCs w:val="20"/>
        </w:rPr>
        <w:t>beschuldigt</w:t>
      </w:r>
      <w:r>
        <w:rPr>
          <w:rFonts w:ascii="Arial" w:hAnsi="Arial"/>
          <w:bCs/>
          <w:sz w:val="20"/>
          <w:szCs w:val="20"/>
        </w:rPr>
        <w:t xml:space="preserve"> wird, manchmal nachdem das Opfer jahrelang aus Angst geschwiegen hatte. </w:t>
      </w:r>
    </w:p>
    <w:p w:rsidR="00875D2F" w:rsidRPr="00D55457" w:rsidRDefault="00875D2F" w:rsidP="00390654">
      <w:pPr>
        <w:spacing w:line="300" w:lineRule="atLeast"/>
        <w:rPr>
          <w:rFonts w:ascii="Arial" w:hAnsi="Arial" w:cs="Arial"/>
          <w:bCs/>
          <w:sz w:val="20"/>
          <w:szCs w:val="20"/>
          <w:lang w:eastAsia="fr-CH"/>
        </w:rPr>
      </w:pPr>
    </w:p>
    <w:p w:rsidR="003375DC" w:rsidRDefault="00875D2F" w:rsidP="009F6794">
      <w:pPr>
        <w:spacing w:line="300" w:lineRule="atLeast"/>
        <w:rPr>
          <w:rFonts w:ascii="Arial" w:hAnsi="Arial" w:cs="Arial"/>
          <w:bCs/>
          <w:sz w:val="20"/>
          <w:szCs w:val="20"/>
        </w:rPr>
      </w:pPr>
      <w:r>
        <w:rPr>
          <w:rFonts w:ascii="Arial" w:hAnsi="Arial"/>
          <w:bCs/>
          <w:sz w:val="20"/>
          <w:szCs w:val="20"/>
        </w:rPr>
        <w:t>Diese Kampagne ist jedoch nicht neu, sondern wurde bereits vor 10</w:t>
      </w:r>
      <w:r w:rsidR="00D55457">
        <w:rPr>
          <w:rFonts w:ascii="Arial" w:hAnsi="Arial" w:cs="Arial"/>
          <w:bCs/>
          <w:sz w:val="20"/>
          <w:szCs w:val="20"/>
        </w:rPr>
        <w:t> </w:t>
      </w:r>
      <w:r>
        <w:rPr>
          <w:rFonts w:ascii="Arial" w:hAnsi="Arial"/>
          <w:bCs/>
          <w:sz w:val="20"/>
          <w:szCs w:val="20"/>
        </w:rPr>
        <w:t xml:space="preserve">Jahren von </w:t>
      </w:r>
      <w:proofErr w:type="spellStart"/>
      <w:r>
        <w:rPr>
          <w:rFonts w:ascii="Arial" w:hAnsi="Arial"/>
          <w:bCs/>
          <w:sz w:val="20"/>
          <w:szCs w:val="20"/>
        </w:rPr>
        <w:t>Tarana</w:t>
      </w:r>
      <w:proofErr w:type="spellEnd"/>
      <w:r>
        <w:rPr>
          <w:rFonts w:ascii="Arial" w:hAnsi="Arial"/>
          <w:bCs/>
          <w:sz w:val="20"/>
          <w:szCs w:val="20"/>
        </w:rPr>
        <w:t xml:space="preserve"> Burke ins Leben gerufen, einer amerikanischen Aktivistin und Direktorin der Organisation «Girls </w:t>
      </w:r>
      <w:proofErr w:type="spellStart"/>
      <w:r>
        <w:rPr>
          <w:rFonts w:ascii="Arial" w:hAnsi="Arial"/>
          <w:bCs/>
          <w:sz w:val="20"/>
          <w:szCs w:val="20"/>
        </w:rPr>
        <w:t>for</w:t>
      </w:r>
      <w:proofErr w:type="spellEnd"/>
      <w:r>
        <w:rPr>
          <w:rFonts w:ascii="Arial" w:hAnsi="Arial"/>
          <w:bCs/>
          <w:sz w:val="20"/>
          <w:szCs w:val="20"/>
        </w:rPr>
        <w:t xml:space="preserve"> </w:t>
      </w:r>
      <w:proofErr w:type="spellStart"/>
      <w:r>
        <w:rPr>
          <w:rFonts w:ascii="Arial" w:hAnsi="Arial"/>
          <w:bCs/>
          <w:sz w:val="20"/>
          <w:szCs w:val="20"/>
        </w:rPr>
        <w:t>gender</w:t>
      </w:r>
      <w:proofErr w:type="spellEnd"/>
      <w:r>
        <w:rPr>
          <w:rFonts w:ascii="Arial" w:hAnsi="Arial"/>
          <w:bCs/>
          <w:sz w:val="20"/>
          <w:szCs w:val="20"/>
        </w:rPr>
        <w:t xml:space="preserve"> </w:t>
      </w:r>
      <w:proofErr w:type="spellStart"/>
      <w:r>
        <w:rPr>
          <w:rFonts w:ascii="Arial" w:hAnsi="Arial"/>
          <w:bCs/>
          <w:sz w:val="20"/>
          <w:szCs w:val="20"/>
        </w:rPr>
        <w:t>equity</w:t>
      </w:r>
      <w:proofErr w:type="spellEnd"/>
      <w:r>
        <w:rPr>
          <w:rFonts w:ascii="Arial" w:hAnsi="Arial"/>
          <w:bCs/>
          <w:sz w:val="20"/>
          <w:szCs w:val="20"/>
        </w:rPr>
        <w:t>» mit Sitz in Brooklyn. Auf der Startseite der Website</w:t>
      </w:r>
      <w:r w:rsidR="009F6794">
        <w:rPr>
          <w:rStyle w:val="Funotenzeichen"/>
          <w:rFonts w:ascii="Arial" w:hAnsi="Arial" w:cs="Arial"/>
          <w:bCs/>
          <w:sz w:val="20"/>
          <w:szCs w:val="20"/>
          <w:lang w:val="fr-CH" w:eastAsia="fr-CH"/>
        </w:rPr>
        <w:footnoteReference w:id="1"/>
      </w:r>
      <w:r>
        <w:rPr>
          <w:rFonts w:ascii="Arial" w:hAnsi="Arial"/>
          <w:bCs/>
          <w:sz w:val="20"/>
          <w:szCs w:val="20"/>
        </w:rPr>
        <w:t xml:space="preserve"> der #</w:t>
      </w:r>
      <w:proofErr w:type="spellStart"/>
      <w:r>
        <w:rPr>
          <w:rFonts w:ascii="Arial" w:hAnsi="Arial"/>
          <w:bCs/>
          <w:sz w:val="20"/>
          <w:szCs w:val="20"/>
        </w:rPr>
        <w:t>metoo</w:t>
      </w:r>
      <w:proofErr w:type="spellEnd"/>
      <w:r>
        <w:rPr>
          <w:rFonts w:ascii="Arial" w:hAnsi="Arial"/>
          <w:bCs/>
          <w:sz w:val="20"/>
          <w:szCs w:val="20"/>
        </w:rPr>
        <w:t xml:space="preserve">-Bewegung erscheint eine Zahl: fast 18 Millionen Frauen haben seit 1998 eine sexuelle Aggression angezeigt. </w:t>
      </w:r>
    </w:p>
    <w:p w:rsidR="003375DC" w:rsidRDefault="003375DC" w:rsidP="009F6794">
      <w:pPr>
        <w:spacing w:line="300" w:lineRule="atLeast"/>
        <w:rPr>
          <w:rFonts w:ascii="Arial" w:hAnsi="Arial" w:cs="Arial"/>
          <w:bCs/>
          <w:sz w:val="20"/>
          <w:szCs w:val="20"/>
          <w:lang w:eastAsia="fr-CH"/>
        </w:rPr>
      </w:pPr>
    </w:p>
    <w:p w:rsidR="003C757B" w:rsidRPr="00D55457" w:rsidRDefault="003C757B" w:rsidP="009F6794">
      <w:pPr>
        <w:spacing w:line="300" w:lineRule="atLeast"/>
        <w:rPr>
          <w:rFonts w:ascii="Arial" w:hAnsi="Arial" w:cs="Arial"/>
          <w:bCs/>
          <w:sz w:val="20"/>
          <w:szCs w:val="20"/>
          <w:lang w:eastAsia="fr-CH"/>
        </w:rPr>
      </w:pPr>
    </w:p>
    <w:p w:rsidR="003375DC" w:rsidRPr="003375DC" w:rsidRDefault="003375DC" w:rsidP="009F6794">
      <w:pPr>
        <w:spacing w:line="300" w:lineRule="atLeast"/>
        <w:rPr>
          <w:rFonts w:ascii="Arial" w:hAnsi="Arial" w:cs="Arial"/>
          <w:b/>
          <w:bCs/>
          <w:sz w:val="20"/>
          <w:szCs w:val="20"/>
        </w:rPr>
      </w:pPr>
      <w:r>
        <w:rPr>
          <w:rFonts w:ascii="Arial" w:hAnsi="Arial"/>
          <w:b/>
          <w:bCs/>
          <w:sz w:val="20"/>
          <w:szCs w:val="20"/>
        </w:rPr>
        <w:t>Sexuelle Belästigung: jedes Jahr eine traurige Tatsache für jede dritte Person in der Schweiz</w:t>
      </w:r>
    </w:p>
    <w:p w:rsidR="003375DC" w:rsidRPr="00D55457" w:rsidRDefault="003375DC" w:rsidP="009F6794">
      <w:pPr>
        <w:spacing w:line="300" w:lineRule="atLeast"/>
        <w:rPr>
          <w:rFonts w:ascii="Arial" w:hAnsi="Arial" w:cs="Arial"/>
          <w:bCs/>
          <w:sz w:val="20"/>
          <w:szCs w:val="20"/>
          <w:lang w:eastAsia="fr-CH"/>
        </w:rPr>
      </w:pPr>
    </w:p>
    <w:p w:rsidR="003375DC" w:rsidRDefault="00875D2F" w:rsidP="009F6794">
      <w:pPr>
        <w:spacing w:line="300" w:lineRule="atLeast"/>
        <w:rPr>
          <w:rFonts w:ascii="Arial" w:hAnsi="Arial" w:cs="Arial"/>
          <w:bCs/>
          <w:sz w:val="20"/>
          <w:szCs w:val="20"/>
        </w:rPr>
      </w:pPr>
      <w:r>
        <w:rPr>
          <w:rFonts w:ascii="Arial" w:hAnsi="Arial"/>
          <w:bCs/>
          <w:sz w:val="20"/>
          <w:szCs w:val="20"/>
        </w:rPr>
        <w:t>Die traurige Wahrheit ist, dass sexuelle Gewalt gegen Frauen und Männer in unterschiedlichem Grad in allen Ländern der Welt vorkommt. Auch in der Schweiz. Das Eidgenössische Büro für die Gleichstellung von Frau und Mann (EBG) und das Staatssekretariat für Wirtschaft SECO haben 2007 eine Erhebung durchgeführt</w:t>
      </w:r>
      <w:r w:rsidR="003375DC">
        <w:rPr>
          <w:rStyle w:val="Funotenzeichen"/>
          <w:rFonts w:ascii="Arial" w:hAnsi="Arial" w:cs="Arial"/>
          <w:bCs/>
          <w:sz w:val="20"/>
          <w:szCs w:val="20"/>
          <w:lang w:val="fr-CH" w:eastAsia="fr-CH"/>
        </w:rPr>
        <w:footnoteReference w:id="2"/>
      </w:r>
      <w:r>
        <w:rPr>
          <w:rFonts w:ascii="Arial" w:hAnsi="Arial"/>
          <w:bCs/>
          <w:sz w:val="20"/>
          <w:szCs w:val="20"/>
        </w:rPr>
        <w:t xml:space="preserve">. Ihre Schlussfolgerung ist bezeichnend: </w:t>
      </w:r>
      <w:r>
        <w:rPr>
          <w:rFonts w:ascii="Arial" w:hAnsi="Arial"/>
          <w:bCs/>
          <w:i/>
          <w:sz w:val="20"/>
          <w:szCs w:val="20"/>
        </w:rPr>
        <w:t>«(…) 6</w:t>
      </w:r>
      <w:r w:rsidR="00D55457">
        <w:rPr>
          <w:rFonts w:ascii="Arial" w:hAnsi="Arial"/>
          <w:bCs/>
          <w:i/>
          <w:sz w:val="20"/>
          <w:szCs w:val="20"/>
        </w:rPr>
        <w:t>,</w:t>
      </w:r>
      <w:r>
        <w:rPr>
          <w:rFonts w:ascii="Arial" w:hAnsi="Arial"/>
          <w:bCs/>
          <w:i/>
          <w:sz w:val="20"/>
          <w:szCs w:val="20"/>
        </w:rPr>
        <w:t>5</w:t>
      </w:r>
      <w:r w:rsidR="00C90094">
        <w:rPr>
          <w:rFonts w:ascii="Arial" w:hAnsi="Arial" w:cs="Arial"/>
          <w:bCs/>
          <w:i/>
          <w:sz w:val="20"/>
          <w:szCs w:val="20"/>
        </w:rPr>
        <w:t> </w:t>
      </w:r>
      <w:r>
        <w:rPr>
          <w:rFonts w:ascii="Arial" w:hAnsi="Arial"/>
          <w:bCs/>
          <w:i/>
          <w:sz w:val="20"/>
          <w:szCs w:val="20"/>
        </w:rPr>
        <w:t>% der in einem Angestelltenverhältnis beschäftigten Personen in der Schweiz mit sexueller Belästigung am Arbeitsplatz konfrontiert, Frauen (10</w:t>
      </w:r>
      <w:r w:rsidR="00D55457">
        <w:rPr>
          <w:rFonts w:ascii="Arial" w:hAnsi="Arial"/>
          <w:bCs/>
          <w:i/>
          <w:sz w:val="20"/>
          <w:szCs w:val="20"/>
        </w:rPr>
        <w:t>,</w:t>
      </w:r>
      <w:r>
        <w:rPr>
          <w:rFonts w:ascii="Arial" w:hAnsi="Arial"/>
          <w:bCs/>
          <w:i/>
          <w:sz w:val="20"/>
          <w:szCs w:val="20"/>
        </w:rPr>
        <w:t>3</w:t>
      </w:r>
      <w:r w:rsidR="00C90094">
        <w:rPr>
          <w:rFonts w:ascii="Arial" w:hAnsi="Arial" w:cs="Arial"/>
          <w:bCs/>
          <w:i/>
          <w:sz w:val="20"/>
          <w:szCs w:val="20"/>
        </w:rPr>
        <w:t> </w:t>
      </w:r>
      <w:r>
        <w:rPr>
          <w:rFonts w:ascii="Arial" w:hAnsi="Arial"/>
          <w:bCs/>
          <w:i/>
          <w:sz w:val="20"/>
          <w:szCs w:val="20"/>
        </w:rPr>
        <w:t>%) deutlich stärker als Männer (3</w:t>
      </w:r>
      <w:r w:rsidR="00D55457">
        <w:rPr>
          <w:rFonts w:ascii="Arial" w:hAnsi="Arial"/>
          <w:bCs/>
          <w:i/>
          <w:sz w:val="20"/>
          <w:szCs w:val="20"/>
        </w:rPr>
        <w:t>,</w:t>
      </w:r>
      <w:r>
        <w:rPr>
          <w:rFonts w:ascii="Arial" w:hAnsi="Arial"/>
          <w:bCs/>
          <w:i/>
          <w:sz w:val="20"/>
          <w:szCs w:val="20"/>
        </w:rPr>
        <w:t>5</w:t>
      </w:r>
      <w:r w:rsidR="00C90094">
        <w:rPr>
          <w:rFonts w:ascii="Arial" w:hAnsi="Arial" w:cs="Arial"/>
          <w:bCs/>
          <w:i/>
          <w:sz w:val="20"/>
          <w:szCs w:val="20"/>
        </w:rPr>
        <w:t> </w:t>
      </w:r>
      <w:r>
        <w:rPr>
          <w:rFonts w:ascii="Arial" w:hAnsi="Arial"/>
          <w:bCs/>
          <w:i/>
          <w:sz w:val="20"/>
          <w:szCs w:val="20"/>
        </w:rPr>
        <w:t>%). Bezogen auf das gesamte Erwerbsleben sind insgesamt 18</w:t>
      </w:r>
      <w:r w:rsidR="00D55457">
        <w:rPr>
          <w:rFonts w:ascii="Arial" w:hAnsi="Arial"/>
          <w:bCs/>
          <w:i/>
          <w:sz w:val="20"/>
          <w:szCs w:val="20"/>
        </w:rPr>
        <w:t>,</w:t>
      </w:r>
      <w:r>
        <w:rPr>
          <w:rFonts w:ascii="Arial" w:hAnsi="Arial"/>
          <w:bCs/>
          <w:i/>
          <w:sz w:val="20"/>
          <w:szCs w:val="20"/>
        </w:rPr>
        <w:t>1</w:t>
      </w:r>
      <w:r w:rsidR="00C90094">
        <w:rPr>
          <w:rFonts w:ascii="Arial" w:hAnsi="Arial" w:cs="Arial"/>
          <w:bCs/>
          <w:i/>
          <w:sz w:val="20"/>
          <w:szCs w:val="20"/>
        </w:rPr>
        <w:t> </w:t>
      </w:r>
      <w:r>
        <w:rPr>
          <w:rFonts w:ascii="Arial" w:hAnsi="Arial"/>
          <w:bCs/>
          <w:i/>
          <w:sz w:val="20"/>
          <w:szCs w:val="20"/>
        </w:rPr>
        <w:t>% mindestens einmal sexuell belästigt worden, 28</w:t>
      </w:r>
      <w:r w:rsidR="00D55457">
        <w:rPr>
          <w:rFonts w:ascii="Arial" w:hAnsi="Arial"/>
          <w:bCs/>
          <w:i/>
          <w:sz w:val="20"/>
          <w:szCs w:val="20"/>
        </w:rPr>
        <w:t>,</w:t>
      </w:r>
      <w:r>
        <w:rPr>
          <w:rFonts w:ascii="Arial" w:hAnsi="Arial"/>
          <w:bCs/>
          <w:i/>
          <w:sz w:val="20"/>
          <w:szCs w:val="20"/>
        </w:rPr>
        <w:t>3</w:t>
      </w:r>
      <w:r w:rsidR="00C90094">
        <w:rPr>
          <w:rFonts w:ascii="Arial" w:hAnsi="Arial" w:cs="Arial"/>
          <w:bCs/>
          <w:i/>
          <w:sz w:val="20"/>
          <w:szCs w:val="20"/>
        </w:rPr>
        <w:t> </w:t>
      </w:r>
      <w:r>
        <w:rPr>
          <w:rFonts w:ascii="Arial" w:hAnsi="Arial"/>
          <w:bCs/>
          <w:i/>
          <w:sz w:val="20"/>
          <w:szCs w:val="20"/>
        </w:rPr>
        <w:t>% der Frauen und 10</w:t>
      </w:r>
      <w:r w:rsidR="00C90094">
        <w:rPr>
          <w:rFonts w:ascii="Arial" w:hAnsi="Arial" w:cs="Arial"/>
          <w:bCs/>
          <w:i/>
          <w:sz w:val="20"/>
          <w:szCs w:val="20"/>
        </w:rPr>
        <w:t> </w:t>
      </w:r>
      <w:r>
        <w:rPr>
          <w:rFonts w:ascii="Arial" w:hAnsi="Arial"/>
          <w:bCs/>
          <w:i/>
          <w:sz w:val="20"/>
          <w:szCs w:val="20"/>
        </w:rPr>
        <w:t>% der Männer.»</w:t>
      </w:r>
      <w:r>
        <w:rPr>
          <w:rFonts w:ascii="Arial" w:hAnsi="Arial"/>
          <w:bCs/>
          <w:sz w:val="20"/>
          <w:szCs w:val="20"/>
        </w:rPr>
        <w:t xml:space="preserve"> </w:t>
      </w:r>
    </w:p>
    <w:p w:rsidR="003375DC" w:rsidRPr="00D55457" w:rsidRDefault="003375DC" w:rsidP="009F6794">
      <w:pPr>
        <w:spacing w:line="300" w:lineRule="atLeast"/>
        <w:rPr>
          <w:rFonts w:ascii="Arial" w:hAnsi="Arial" w:cs="Arial"/>
          <w:bCs/>
          <w:sz w:val="20"/>
          <w:szCs w:val="20"/>
          <w:lang w:eastAsia="fr-CH"/>
        </w:rPr>
      </w:pPr>
    </w:p>
    <w:p w:rsidR="00875D2F" w:rsidRDefault="009F6794" w:rsidP="009F6794">
      <w:pPr>
        <w:spacing w:line="300" w:lineRule="atLeast"/>
        <w:rPr>
          <w:rFonts w:ascii="Arial" w:hAnsi="Arial" w:cs="Arial"/>
          <w:bCs/>
          <w:sz w:val="20"/>
          <w:szCs w:val="20"/>
        </w:rPr>
      </w:pPr>
      <w:r>
        <w:rPr>
          <w:rFonts w:ascii="Arial" w:hAnsi="Arial"/>
          <w:bCs/>
          <w:sz w:val="20"/>
          <w:szCs w:val="20"/>
        </w:rPr>
        <w:t xml:space="preserve">Die sexuelle Belästigung deckt eine breite Palette von strafbaren Tatbeständen ab, zu der auch potenziell belästigendes Verhalten gehört (verbale Kommentare, unangebrachte Witze, Gesten, Andeutungen, aufgedrängte obszöne Bilder usw.). Dieses Verhalten ist weit verbreitet: </w:t>
      </w:r>
      <w:r>
        <w:rPr>
          <w:rFonts w:ascii="Arial" w:hAnsi="Arial"/>
          <w:bCs/>
          <w:i/>
          <w:sz w:val="20"/>
          <w:szCs w:val="20"/>
        </w:rPr>
        <w:t>«Insgesamt hat knapp jede dritte Person in den vergangen 12</w:t>
      </w:r>
      <w:r w:rsidR="00C90094">
        <w:rPr>
          <w:rFonts w:ascii="Arial" w:hAnsi="Arial" w:cs="Arial"/>
          <w:bCs/>
          <w:i/>
          <w:sz w:val="20"/>
          <w:szCs w:val="20"/>
        </w:rPr>
        <w:t> </w:t>
      </w:r>
      <w:r>
        <w:rPr>
          <w:rFonts w:ascii="Arial" w:hAnsi="Arial"/>
          <w:bCs/>
          <w:i/>
          <w:sz w:val="20"/>
          <w:szCs w:val="20"/>
        </w:rPr>
        <w:t>Monaten und gut jede zweite Person bezogen auf ihr gesamtes Erwerbsleben mindestens ein potenziell belästigendes Verhalten erlebt, Frauen bezogen auf das gesamte Erwerbsleben häufiger als Männer (54</w:t>
      </w:r>
      <w:r w:rsidR="00C90094">
        <w:rPr>
          <w:rFonts w:ascii="Arial" w:hAnsi="Arial"/>
          <w:bCs/>
          <w:i/>
          <w:sz w:val="20"/>
          <w:szCs w:val="20"/>
        </w:rPr>
        <w:t>,</w:t>
      </w:r>
      <w:r>
        <w:rPr>
          <w:rFonts w:ascii="Arial" w:hAnsi="Arial"/>
          <w:bCs/>
          <w:i/>
          <w:sz w:val="20"/>
          <w:szCs w:val="20"/>
        </w:rPr>
        <w:t>8</w:t>
      </w:r>
      <w:r w:rsidR="00C90094">
        <w:rPr>
          <w:rFonts w:ascii="Arial" w:hAnsi="Arial" w:cs="Arial"/>
          <w:bCs/>
          <w:i/>
          <w:sz w:val="20"/>
          <w:szCs w:val="20"/>
        </w:rPr>
        <w:t> </w:t>
      </w:r>
      <w:r>
        <w:rPr>
          <w:rFonts w:ascii="Arial" w:hAnsi="Arial"/>
          <w:bCs/>
          <w:i/>
          <w:sz w:val="20"/>
          <w:szCs w:val="20"/>
        </w:rPr>
        <w:t>% vs. 48</w:t>
      </w:r>
      <w:r w:rsidR="00C90094">
        <w:rPr>
          <w:rFonts w:ascii="Arial" w:hAnsi="Arial"/>
          <w:bCs/>
          <w:i/>
          <w:sz w:val="20"/>
          <w:szCs w:val="20"/>
        </w:rPr>
        <w:t>,</w:t>
      </w:r>
      <w:r>
        <w:rPr>
          <w:rFonts w:ascii="Arial" w:hAnsi="Arial"/>
          <w:bCs/>
          <w:i/>
          <w:sz w:val="20"/>
          <w:szCs w:val="20"/>
        </w:rPr>
        <w:t>6</w:t>
      </w:r>
      <w:r w:rsidR="00C90094">
        <w:rPr>
          <w:rFonts w:ascii="Arial" w:hAnsi="Arial" w:cs="Arial"/>
          <w:bCs/>
          <w:i/>
          <w:sz w:val="20"/>
          <w:szCs w:val="20"/>
        </w:rPr>
        <w:t> </w:t>
      </w:r>
      <w:r>
        <w:rPr>
          <w:rFonts w:ascii="Arial" w:hAnsi="Arial"/>
          <w:bCs/>
          <w:i/>
          <w:sz w:val="20"/>
          <w:szCs w:val="20"/>
        </w:rPr>
        <w:t>%).»</w:t>
      </w:r>
    </w:p>
    <w:p w:rsidR="003375DC" w:rsidRPr="00D55457" w:rsidRDefault="003375DC" w:rsidP="009F6794">
      <w:pPr>
        <w:spacing w:line="300" w:lineRule="atLeast"/>
        <w:rPr>
          <w:rFonts w:ascii="Arial" w:hAnsi="Arial" w:cs="Arial"/>
          <w:bCs/>
          <w:sz w:val="20"/>
          <w:szCs w:val="20"/>
          <w:lang w:eastAsia="fr-CH"/>
        </w:rPr>
      </w:pPr>
    </w:p>
    <w:p w:rsidR="003375DC" w:rsidRDefault="003375DC" w:rsidP="00C34538">
      <w:pPr>
        <w:widowControl w:val="0"/>
        <w:spacing w:line="300" w:lineRule="atLeast"/>
        <w:rPr>
          <w:rFonts w:ascii="Arial" w:hAnsi="Arial" w:cs="Arial"/>
          <w:bCs/>
          <w:sz w:val="20"/>
          <w:szCs w:val="20"/>
        </w:rPr>
      </w:pPr>
      <w:r>
        <w:rPr>
          <w:rFonts w:ascii="Arial" w:hAnsi="Arial"/>
          <w:bCs/>
          <w:sz w:val="20"/>
          <w:szCs w:val="20"/>
        </w:rPr>
        <w:t xml:space="preserve">Aufgrund des Ausmasses des Phänomens wurden mehrere Prospekte und Leitfäden für </w:t>
      </w:r>
      <w:proofErr w:type="spellStart"/>
      <w:r>
        <w:rPr>
          <w:rFonts w:ascii="Arial" w:hAnsi="Arial"/>
          <w:bCs/>
          <w:sz w:val="20"/>
          <w:szCs w:val="20"/>
        </w:rPr>
        <w:lastRenderedPageBreak/>
        <w:t>Arbeitgebende</w:t>
      </w:r>
      <w:proofErr w:type="spellEnd"/>
      <w:r>
        <w:rPr>
          <w:rFonts w:ascii="Arial" w:hAnsi="Arial"/>
          <w:bCs/>
          <w:sz w:val="20"/>
          <w:szCs w:val="20"/>
        </w:rPr>
        <w:t xml:space="preserve"> und </w:t>
      </w:r>
      <w:proofErr w:type="spellStart"/>
      <w:r>
        <w:rPr>
          <w:rFonts w:ascii="Arial" w:hAnsi="Arial"/>
          <w:bCs/>
          <w:sz w:val="20"/>
          <w:szCs w:val="20"/>
        </w:rPr>
        <w:t>Arbeitnehmende</w:t>
      </w:r>
      <w:proofErr w:type="spellEnd"/>
      <w:r>
        <w:rPr>
          <w:rFonts w:ascii="Arial" w:hAnsi="Arial"/>
          <w:bCs/>
          <w:sz w:val="20"/>
          <w:szCs w:val="20"/>
        </w:rPr>
        <w:t xml:space="preserve"> entwickelt, um diesen inakzeptablen Situationen zu begegnen. Diese sind sowohl auf der Website des EBG</w:t>
      </w:r>
      <w:r>
        <w:rPr>
          <w:rStyle w:val="Funotenzeichen"/>
          <w:rFonts w:ascii="Arial" w:hAnsi="Arial" w:cs="Arial"/>
          <w:bCs/>
          <w:sz w:val="20"/>
          <w:szCs w:val="20"/>
          <w:lang w:val="fr-CH" w:eastAsia="fr-CH"/>
        </w:rPr>
        <w:footnoteReference w:id="3"/>
      </w:r>
      <w:r>
        <w:rPr>
          <w:rFonts w:ascii="Arial" w:hAnsi="Arial"/>
          <w:bCs/>
          <w:sz w:val="20"/>
          <w:szCs w:val="20"/>
        </w:rPr>
        <w:t xml:space="preserve"> als auch auf jener des SECO</w:t>
      </w:r>
      <w:r>
        <w:rPr>
          <w:rStyle w:val="Funotenzeichen"/>
          <w:rFonts w:ascii="Arial" w:hAnsi="Arial" w:cs="Arial"/>
          <w:bCs/>
          <w:sz w:val="20"/>
          <w:szCs w:val="20"/>
          <w:lang w:val="fr-CH" w:eastAsia="fr-CH"/>
        </w:rPr>
        <w:footnoteReference w:id="4"/>
      </w:r>
      <w:r>
        <w:rPr>
          <w:rFonts w:ascii="Arial" w:hAnsi="Arial"/>
          <w:bCs/>
          <w:sz w:val="20"/>
          <w:szCs w:val="20"/>
        </w:rPr>
        <w:t xml:space="preserve"> verfügbar.</w:t>
      </w:r>
    </w:p>
    <w:p w:rsidR="003375DC" w:rsidRPr="00D55457" w:rsidRDefault="003375DC" w:rsidP="009F6794">
      <w:pPr>
        <w:spacing w:line="300" w:lineRule="atLeast"/>
        <w:rPr>
          <w:rFonts w:ascii="Arial" w:hAnsi="Arial" w:cs="Arial"/>
          <w:bCs/>
          <w:sz w:val="20"/>
          <w:szCs w:val="20"/>
          <w:lang w:eastAsia="fr-CH"/>
        </w:rPr>
      </w:pPr>
    </w:p>
    <w:p w:rsidR="003375DC" w:rsidRDefault="003375DC" w:rsidP="009F6794">
      <w:pPr>
        <w:spacing w:line="300" w:lineRule="atLeast"/>
        <w:rPr>
          <w:rFonts w:ascii="Arial" w:hAnsi="Arial" w:cs="Arial"/>
          <w:bCs/>
          <w:sz w:val="20"/>
          <w:szCs w:val="20"/>
        </w:rPr>
      </w:pPr>
      <w:r>
        <w:rPr>
          <w:rFonts w:ascii="Arial" w:hAnsi="Arial"/>
          <w:bCs/>
          <w:sz w:val="20"/>
          <w:szCs w:val="20"/>
        </w:rPr>
        <w:t>Nachdem das Treiben eines mächtigen Hollywood-Produzenten – Harvey Weinstein –</w:t>
      </w:r>
      <w:r w:rsidR="005031F6">
        <w:rPr>
          <w:rFonts w:ascii="Arial" w:hAnsi="Arial"/>
          <w:bCs/>
          <w:sz w:val="20"/>
          <w:szCs w:val="20"/>
        </w:rPr>
        <w:t xml:space="preserve"> </w:t>
      </w:r>
      <w:r>
        <w:rPr>
          <w:rFonts w:ascii="Arial" w:hAnsi="Arial"/>
          <w:bCs/>
          <w:sz w:val="20"/>
          <w:szCs w:val="20"/>
        </w:rPr>
        <w:t>publik gemacht wurde, übernahm die amerikanische Schauspielerin Alyssa Milano den Titel der Kampagne von 2007 und stellt ihm ein Hashtag (#) voran. In Frankreich entfacht ein anderes Hashtag das Feuer in den sozialen Netzwerken</w:t>
      </w:r>
      <w:r w:rsidR="007C6A08">
        <w:rPr>
          <w:rFonts w:ascii="Arial" w:hAnsi="Arial"/>
          <w:bCs/>
          <w:sz w:val="20"/>
          <w:szCs w:val="20"/>
        </w:rPr>
        <w:t>:</w:t>
      </w:r>
      <w:r>
        <w:rPr>
          <w:rFonts w:ascii="Arial" w:hAnsi="Arial"/>
          <w:bCs/>
          <w:sz w:val="20"/>
          <w:szCs w:val="20"/>
        </w:rPr>
        <w:t xml:space="preserve"> #</w:t>
      </w:r>
      <w:proofErr w:type="spellStart"/>
      <w:r>
        <w:rPr>
          <w:rFonts w:ascii="Arial" w:hAnsi="Arial"/>
          <w:bCs/>
          <w:sz w:val="20"/>
          <w:szCs w:val="20"/>
        </w:rPr>
        <w:t>balancetonporc</w:t>
      </w:r>
      <w:proofErr w:type="spellEnd"/>
      <w:r>
        <w:rPr>
          <w:rFonts w:ascii="Arial" w:hAnsi="Arial"/>
          <w:bCs/>
          <w:sz w:val="20"/>
          <w:szCs w:val="20"/>
        </w:rPr>
        <w:t xml:space="preserve">, lanciert von der französischen Journalistin Sandra Muller, inspiriert von einem Artikel der Zeitung Le </w:t>
      </w:r>
      <w:proofErr w:type="spellStart"/>
      <w:r>
        <w:rPr>
          <w:rFonts w:ascii="Arial" w:hAnsi="Arial"/>
          <w:bCs/>
          <w:sz w:val="20"/>
          <w:szCs w:val="20"/>
        </w:rPr>
        <w:t>Parisien</w:t>
      </w:r>
      <w:proofErr w:type="spellEnd"/>
      <w:r>
        <w:rPr>
          <w:rFonts w:ascii="Arial" w:hAnsi="Arial"/>
          <w:bCs/>
          <w:sz w:val="20"/>
          <w:szCs w:val="20"/>
        </w:rPr>
        <w:t xml:space="preserve"> über die Affäre Weinstein. Seitdem versiegt der Fluss der Anschuldigungen nicht mehr, führt aber auch zu inakzeptablen Entwicklungen wie der Nennung (und Verurteilung ohne Anhörung) von Personen ausserhalb der Rechtsstaatlichkeit.</w:t>
      </w:r>
    </w:p>
    <w:p w:rsidR="00754099" w:rsidRDefault="00754099" w:rsidP="009F6794">
      <w:pPr>
        <w:spacing w:line="300" w:lineRule="atLeast"/>
        <w:rPr>
          <w:rFonts w:ascii="Arial" w:hAnsi="Arial" w:cs="Arial"/>
          <w:bCs/>
          <w:sz w:val="20"/>
          <w:szCs w:val="20"/>
          <w:lang w:eastAsia="fr-CH"/>
        </w:rPr>
      </w:pPr>
    </w:p>
    <w:p w:rsidR="003C757B" w:rsidRPr="00D55457" w:rsidRDefault="003C757B" w:rsidP="009F6794">
      <w:pPr>
        <w:spacing w:line="300" w:lineRule="atLeast"/>
        <w:rPr>
          <w:rFonts w:ascii="Arial" w:hAnsi="Arial" w:cs="Arial"/>
          <w:bCs/>
          <w:sz w:val="20"/>
          <w:szCs w:val="20"/>
          <w:lang w:eastAsia="fr-CH"/>
        </w:rPr>
      </w:pPr>
    </w:p>
    <w:p w:rsidR="00754099" w:rsidRPr="00754099" w:rsidRDefault="00754099" w:rsidP="009F6794">
      <w:pPr>
        <w:spacing w:line="300" w:lineRule="atLeast"/>
        <w:rPr>
          <w:rFonts w:ascii="Arial" w:hAnsi="Arial" w:cs="Arial"/>
          <w:b/>
          <w:bCs/>
          <w:sz w:val="20"/>
          <w:szCs w:val="20"/>
        </w:rPr>
      </w:pPr>
      <w:r>
        <w:rPr>
          <w:rFonts w:ascii="Arial" w:hAnsi="Arial"/>
          <w:b/>
          <w:bCs/>
          <w:sz w:val="20"/>
          <w:szCs w:val="20"/>
        </w:rPr>
        <w:t>Tragen die Ständeräte Ohrstöpsel?</w:t>
      </w:r>
    </w:p>
    <w:p w:rsidR="005550A5" w:rsidRPr="00D55457" w:rsidRDefault="005550A5" w:rsidP="009F6794">
      <w:pPr>
        <w:spacing w:line="300" w:lineRule="atLeast"/>
        <w:rPr>
          <w:rFonts w:ascii="Arial" w:hAnsi="Arial" w:cs="Arial"/>
          <w:bCs/>
          <w:sz w:val="20"/>
          <w:szCs w:val="20"/>
          <w:lang w:eastAsia="fr-CH"/>
        </w:rPr>
      </w:pPr>
    </w:p>
    <w:p w:rsidR="005C09D8" w:rsidRDefault="005550A5" w:rsidP="00390654">
      <w:pPr>
        <w:spacing w:line="300" w:lineRule="atLeast"/>
        <w:rPr>
          <w:rFonts w:ascii="Arial" w:hAnsi="Arial" w:cs="Arial"/>
          <w:bCs/>
          <w:sz w:val="20"/>
          <w:szCs w:val="20"/>
        </w:rPr>
      </w:pPr>
      <w:r>
        <w:rPr>
          <w:rFonts w:ascii="Arial" w:hAnsi="Arial"/>
          <w:bCs/>
          <w:sz w:val="20"/>
          <w:szCs w:val="20"/>
        </w:rPr>
        <w:t xml:space="preserve">Bei der Debatte der Parlamentarierinnen und Parlamentarier über die Revision des Gleichstellungsgesetzes ging es ab. </w:t>
      </w:r>
      <w:r w:rsidR="007C6A08" w:rsidRPr="007C6A08">
        <w:rPr>
          <w:rFonts w:ascii="Arial" w:hAnsi="Arial"/>
          <w:bCs/>
          <w:sz w:val="20"/>
          <w:szCs w:val="20"/>
        </w:rPr>
        <w:t xml:space="preserve">Von Spitzfindigkeiten über Scheinargumente und falsche Behauptungen </w:t>
      </w:r>
      <w:r w:rsidR="007C6A08">
        <w:rPr>
          <w:rFonts w:ascii="Arial" w:hAnsi="Arial"/>
          <w:bCs/>
          <w:sz w:val="20"/>
          <w:szCs w:val="20"/>
        </w:rPr>
        <w:t xml:space="preserve">bis </w:t>
      </w:r>
      <w:r>
        <w:rPr>
          <w:rFonts w:ascii="Arial" w:hAnsi="Arial"/>
          <w:bCs/>
          <w:sz w:val="20"/>
          <w:szCs w:val="20"/>
        </w:rPr>
        <w:t>zur Leugnung von offiziellen statistischen Informationen drückten sich mehrere Ständeräte (ausschliesslich Herren der Schöpfung) unerquicklich über das Thema aus. Tatsächlich soll diese Revision aber einzig eine gravierende Gesetzeslücke schliessen</w:t>
      </w:r>
      <w:r w:rsidR="007C6A08">
        <w:rPr>
          <w:rFonts w:ascii="Arial" w:hAnsi="Arial"/>
          <w:bCs/>
          <w:sz w:val="20"/>
          <w:szCs w:val="20"/>
        </w:rPr>
        <w:t>,</w:t>
      </w:r>
      <w:r>
        <w:rPr>
          <w:rFonts w:ascii="Arial" w:hAnsi="Arial"/>
          <w:bCs/>
          <w:sz w:val="20"/>
          <w:szCs w:val="20"/>
        </w:rPr>
        <w:t xml:space="preserve"> denn obwohl die Lohndiskriminierung rechtswidrig ist, ist keine Anwendung des Gesetzes vorgesehen; keine Selbstkontrollen, keine externen Kontrollen</w:t>
      </w:r>
      <w:r w:rsidR="007C6A08">
        <w:rPr>
          <w:rFonts w:ascii="Arial" w:hAnsi="Arial"/>
          <w:bCs/>
          <w:sz w:val="20"/>
          <w:szCs w:val="20"/>
        </w:rPr>
        <w:t xml:space="preserve"> und</w:t>
      </w:r>
      <w:r>
        <w:rPr>
          <w:rFonts w:ascii="Arial" w:hAnsi="Arial"/>
          <w:bCs/>
          <w:sz w:val="20"/>
          <w:szCs w:val="20"/>
        </w:rPr>
        <w:t xml:space="preserve"> erst recht keine Sanktionen, auch keine progressiven. Die Frage stellt sich deshalb: trägt die eidgenössische Politik Ohrstöpsel, dass sie sich gegenüber des aktuellen «Momentums» der Gleichstellung so taub stellen kann? Nach dem Ständerat liegt es nun am Nationalrat und seiner Kommission, sich mit der sehr bescheidenen Vorlage des Bundesrats zu befassen. Wir hoffen, dass die grosse Kammer die Angelegenheit ernster nimmt und den ursprünglichen Entwurf wieder aufnimmt.</w:t>
      </w:r>
    </w:p>
    <w:p w:rsidR="00605857" w:rsidRDefault="00605857" w:rsidP="00390654">
      <w:pPr>
        <w:spacing w:line="300" w:lineRule="atLeast"/>
        <w:rPr>
          <w:rFonts w:ascii="Arial" w:hAnsi="Arial" w:cs="Arial"/>
          <w:bCs/>
          <w:sz w:val="20"/>
          <w:szCs w:val="20"/>
          <w:lang w:eastAsia="fr-CH"/>
        </w:rPr>
      </w:pPr>
    </w:p>
    <w:p w:rsidR="003C757B" w:rsidRPr="00D55457" w:rsidRDefault="003C757B" w:rsidP="00390654">
      <w:pPr>
        <w:spacing w:line="300" w:lineRule="atLeast"/>
        <w:rPr>
          <w:rFonts w:ascii="Arial" w:hAnsi="Arial" w:cs="Arial"/>
          <w:bCs/>
          <w:sz w:val="20"/>
          <w:szCs w:val="20"/>
          <w:lang w:eastAsia="fr-CH"/>
        </w:rPr>
      </w:pPr>
    </w:p>
    <w:p w:rsidR="00605857" w:rsidRPr="00605857" w:rsidRDefault="00605857" w:rsidP="00390654">
      <w:pPr>
        <w:spacing w:line="300" w:lineRule="atLeast"/>
        <w:rPr>
          <w:rFonts w:ascii="Arial" w:hAnsi="Arial" w:cs="Arial"/>
          <w:b/>
          <w:bCs/>
          <w:sz w:val="20"/>
          <w:szCs w:val="20"/>
        </w:rPr>
      </w:pPr>
      <w:r>
        <w:rPr>
          <w:rFonts w:ascii="Arial" w:hAnsi="Arial"/>
          <w:b/>
          <w:bCs/>
          <w:sz w:val="20"/>
          <w:szCs w:val="20"/>
        </w:rPr>
        <w:t>Nationale Kundgebung #ENOUGH18 für Lohngleichheit</w:t>
      </w:r>
    </w:p>
    <w:p w:rsidR="00605857" w:rsidRPr="00D55457" w:rsidRDefault="00605857" w:rsidP="00390654">
      <w:pPr>
        <w:spacing w:line="300" w:lineRule="atLeast"/>
        <w:rPr>
          <w:rFonts w:ascii="Arial" w:hAnsi="Arial" w:cs="Arial"/>
          <w:bCs/>
          <w:sz w:val="20"/>
          <w:szCs w:val="20"/>
          <w:lang w:eastAsia="fr-CH"/>
        </w:rPr>
      </w:pPr>
    </w:p>
    <w:p w:rsidR="00605857" w:rsidRDefault="00605857" w:rsidP="00390654">
      <w:pPr>
        <w:spacing w:line="300" w:lineRule="atLeast"/>
        <w:rPr>
          <w:rFonts w:ascii="Arial" w:hAnsi="Arial" w:cs="Arial"/>
          <w:bCs/>
          <w:sz w:val="20"/>
          <w:szCs w:val="20"/>
        </w:rPr>
      </w:pPr>
      <w:r>
        <w:rPr>
          <w:rFonts w:ascii="Arial" w:hAnsi="Arial"/>
          <w:bCs/>
          <w:sz w:val="20"/>
          <w:szCs w:val="20"/>
        </w:rPr>
        <w:t xml:space="preserve">In Folge dieser parlamentarischen Debatten gewann die Mobilisierung für Lohngleichheit an Fahrt. Die Rückweisung der Vorlage für die Revision des Gleichstellungsgesetzes löste eine Schockwelle aus. Über vierzig Frauen-, Männer- und religiöse Organisationen sowie Gewerkschaften bereiten für den 22. September 2018 eine grosse nationale Kundgebung in Bern vor, um – während der Herbstsession des Parlaments – auf die Unzufriedenheit der Frauen, die schon zu lange unter der Lohndiskriminierung leiden, aufmerksam zu machen. Jeden Monat werden den Frauen im Schnitt 600 Franken vorenthalten. Für die Gesamtheit der Arbeiterinnen betrachtet führt dieser Schnitt zum unglaublichen Betrag von über 7 Milliarden Franken, den die Frauen jedes Jahr ohne sachlichen Grund verlieren. </w:t>
      </w:r>
      <w:r w:rsidR="007C6A08">
        <w:rPr>
          <w:rFonts w:ascii="Arial" w:hAnsi="Arial"/>
          <w:bCs/>
          <w:sz w:val="20"/>
          <w:szCs w:val="20"/>
        </w:rPr>
        <w:t>E</w:t>
      </w:r>
      <w:r>
        <w:rPr>
          <w:rFonts w:ascii="Arial" w:hAnsi="Arial"/>
          <w:bCs/>
          <w:sz w:val="20"/>
          <w:szCs w:val="20"/>
        </w:rPr>
        <w:t>in hoher Zoll der Diskriminierung.</w:t>
      </w:r>
    </w:p>
    <w:p w:rsidR="00605857" w:rsidRPr="00D55457" w:rsidRDefault="00605857" w:rsidP="00390654">
      <w:pPr>
        <w:spacing w:line="300" w:lineRule="atLeast"/>
        <w:rPr>
          <w:rFonts w:ascii="Arial" w:hAnsi="Arial" w:cs="Arial"/>
          <w:bCs/>
          <w:sz w:val="20"/>
          <w:szCs w:val="20"/>
          <w:lang w:eastAsia="fr-CH"/>
        </w:rPr>
      </w:pPr>
    </w:p>
    <w:p w:rsidR="00605857" w:rsidRDefault="00605857" w:rsidP="00390654">
      <w:pPr>
        <w:spacing w:line="300" w:lineRule="atLeast"/>
        <w:rPr>
          <w:rFonts w:ascii="Arial" w:hAnsi="Arial" w:cs="Arial"/>
          <w:bCs/>
          <w:sz w:val="20"/>
          <w:szCs w:val="20"/>
        </w:rPr>
      </w:pPr>
      <w:r>
        <w:rPr>
          <w:rFonts w:ascii="Arial" w:hAnsi="Arial"/>
          <w:bCs/>
          <w:sz w:val="20"/>
          <w:szCs w:val="20"/>
        </w:rPr>
        <w:t xml:space="preserve">Travail.Suisse beteiligt sich wie seine Mitglieder Syna, SCIV und OCST an dieser Kundgebung. Es versteht sich von selbst, dass die Forderung der Lohngleichheit Teil des allgemeinen Positionspapiers zur Gleichstellung ist, das am Vortag des 1. Mais an einer Medienkonferenz vorgestellt wurde. Am </w:t>
      </w:r>
      <w:r>
        <w:rPr>
          <w:rFonts w:ascii="Arial" w:hAnsi="Arial"/>
          <w:bCs/>
          <w:sz w:val="20"/>
          <w:szCs w:val="20"/>
        </w:rPr>
        <w:lastRenderedPageBreak/>
        <w:t>30. April 2018 veröffentlichte Travail.Suisse 28 Forderungen zu verschiedenen Themen im Rahmen eines Positionspapiers zur Gleichstellung von Frau und Mann heute und morgen</w:t>
      </w:r>
      <w:r w:rsidR="004B2BD4">
        <w:rPr>
          <w:rStyle w:val="Funotenzeichen"/>
          <w:rFonts w:ascii="Arial" w:hAnsi="Arial" w:cs="Arial"/>
          <w:bCs/>
          <w:sz w:val="20"/>
          <w:szCs w:val="20"/>
          <w:lang w:val="fr-CH" w:eastAsia="fr-CH"/>
        </w:rPr>
        <w:footnoteReference w:id="5"/>
      </w:r>
      <w:r>
        <w:rPr>
          <w:rFonts w:ascii="Arial" w:hAnsi="Arial"/>
          <w:bCs/>
          <w:sz w:val="20"/>
          <w:szCs w:val="20"/>
        </w:rPr>
        <w:t>.</w:t>
      </w:r>
    </w:p>
    <w:p w:rsidR="004B2BD4" w:rsidRDefault="004B2BD4" w:rsidP="00390654">
      <w:pPr>
        <w:spacing w:line="300" w:lineRule="atLeast"/>
        <w:rPr>
          <w:rFonts w:ascii="Arial" w:hAnsi="Arial" w:cs="Arial"/>
          <w:bCs/>
          <w:sz w:val="20"/>
          <w:szCs w:val="20"/>
          <w:lang w:eastAsia="fr-CH"/>
        </w:rPr>
      </w:pPr>
    </w:p>
    <w:p w:rsidR="003C757B" w:rsidRPr="00D55457" w:rsidRDefault="003C757B" w:rsidP="00390654">
      <w:pPr>
        <w:spacing w:line="300" w:lineRule="atLeast"/>
        <w:rPr>
          <w:rFonts w:ascii="Arial" w:hAnsi="Arial" w:cs="Arial"/>
          <w:bCs/>
          <w:sz w:val="20"/>
          <w:szCs w:val="20"/>
          <w:lang w:eastAsia="fr-CH"/>
        </w:rPr>
      </w:pPr>
    </w:p>
    <w:p w:rsidR="00D31076" w:rsidRPr="00D31076" w:rsidRDefault="00D31076" w:rsidP="00390654">
      <w:pPr>
        <w:spacing w:line="300" w:lineRule="atLeast"/>
        <w:rPr>
          <w:rFonts w:ascii="Arial" w:hAnsi="Arial" w:cs="Arial"/>
          <w:b/>
          <w:bCs/>
          <w:sz w:val="20"/>
          <w:szCs w:val="20"/>
        </w:rPr>
      </w:pPr>
      <w:r>
        <w:rPr>
          <w:rFonts w:ascii="Arial" w:hAnsi="Arial"/>
          <w:b/>
          <w:bCs/>
          <w:sz w:val="20"/>
          <w:szCs w:val="20"/>
        </w:rPr>
        <w:t>Das Rentenalter der Frauen ist kein Klacks</w:t>
      </w:r>
    </w:p>
    <w:p w:rsidR="00D31076" w:rsidRPr="00D55457" w:rsidRDefault="00D31076" w:rsidP="00390654">
      <w:pPr>
        <w:spacing w:line="300" w:lineRule="atLeast"/>
        <w:rPr>
          <w:rFonts w:ascii="Arial" w:hAnsi="Arial" w:cs="Arial"/>
          <w:bCs/>
          <w:sz w:val="20"/>
          <w:szCs w:val="20"/>
          <w:lang w:eastAsia="fr-CH"/>
        </w:rPr>
      </w:pPr>
    </w:p>
    <w:p w:rsidR="004B2BD4" w:rsidRDefault="00BE490B" w:rsidP="00390654">
      <w:pPr>
        <w:spacing w:line="300" w:lineRule="atLeast"/>
        <w:rPr>
          <w:rFonts w:ascii="Arial" w:hAnsi="Arial" w:cs="Arial"/>
          <w:bCs/>
          <w:sz w:val="20"/>
          <w:szCs w:val="20"/>
        </w:rPr>
      </w:pPr>
      <w:r>
        <w:rPr>
          <w:rFonts w:ascii="Arial" w:hAnsi="Arial"/>
          <w:bCs/>
          <w:sz w:val="20"/>
          <w:szCs w:val="20"/>
        </w:rPr>
        <w:t xml:space="preserve">Auf dem Menü der Kampagne «#65nopeanuts – </w:t>
      </w:r>
      <w:proofErr w:type="spellStart"/>
      <w:r>
        <w:rPr>
          <w:rFonts w:ascii="Arial" w:hAnsi="Arial"/>
          <w:bCs/>
          <w:sz w:val="20"/>
          <w:szCs w:val="20"/>
        </w:rPr>
        <w:t>Egalité</w:t>
      </w:r>
      <w:proofErr w:type="spellEnd"/>
      <w:r>
        <w:rPr>
          <w:rFonts w:ascii="Arial" w:hAnsi="Arial"/>
          <w:bCs/>
          <w:sz w:val="20"/>
          <w:szCs w:val="20"/>
        </w:rPr>
        <w:t xml:space="preserve"> </w:t>
      </w:r>
      <w:proofErr w:type="spellStart"/>
      <w:r>
        <w:rPr>
          <w:rFonts w:ascii="Arial" w:hAnsi="Arial"/>
          <w:bCs/>
          <w:sz w:val="20"/>
          <w:szCs w:val="20"/>
        </w:rPr>
        <w:t>complète</w:t>
      </w:r>
      <w:proofErr w:type="spellEnd"/>
      <w:r>
        <w:rPr>
          <w:rFonts w:ascii="Arial" w:hAnsi="Arial"/>
          <w:bCs/>
          <w:sz w:val="20"/>
          <w:szCs w:val="20"/>
        </w:rPr>
        <w:t xml:space="preserve">, </w:t>
      </w:r>
      <w:proofErr w:type="spellStart"/>
      <w:r>
        <w:rPr>
          <w:rFonts w:ascii="Arial" w:hAnsi="Arial"/>
          <w:bCs/>
          <w:sz w:val="20"/>
          <w:szCs w:val="20"/>
        </w:rPr>
        <w:t>pas</w:t>
      </w:r>
      <w:proofErr w:type="spellEnd"/>
      <w:r>
        <w:rPr>
          <w:rFonts w:ascii="Arial" w:hAnsi="Arial"/>
          <w:bCs/>
          <w:sz w:val="20"/>
          <w:szCs w:val="20"/>
        </w:rPr>
        <w:t xml:space="preserve"> de </w:t>
      </w:r>
      <w:proofErr w:type="spellStart"/>
      <w:r>
        <w:rPr>
          <w:rFonts w:ascii="Arial" w:hAnsi="Arial"/>
          <w:bCs/>
          <w:sz w:val="20"/>
          <w:szCs w:val="20"/>
        </w:rPr>
        <w:t>cacahuètes</w:t>
      </w:r>
      <w:proofErr w:type="spellEnd"/>
      <w:r>
        <w:rPr>
          <w:rFonts w:ascii="Arial" w:hAnsi="Arial"/>
          <w:bCs/>
          <w:sz w:val="20"/>
          <w:szCs w:val="20"/>
        </w:rPr>
        <w:t>»</w:t>
      </w:r>
      <w:r w:rsidR="003C757B">
        <w:rPr>
          <w:rStyle w:val="Funotenzeichen"/>
          <w:rFonts w:ascii="Arial" w:hAnsi="Arial" w:cs="Arial"/>
          <w:bCs/>
          <w:sz w:val="20"/>
          <w:szCs w:val="20"/>
          <w:lang w:val="fr-CH" w:eastAsia="fr-CH"/>
        </w:rPr>
        <w:footnoteReference w:id="6"/>
      </w:r>
      <w:r>
        <w:rPr>
          <w:rFonts w:ascii="Arial" w:hAnsi="Arial"/>
          <w:bCs/>
          <w:sz w:val="20"/>
          <w:szCs w:val="20"/>
        </w:rPr>
        <w:t xml:space="preserve"> stehen ebenfalls über dreissig Ziele. Mit einem Augenzwinkern befasst sich das aus Ökonominnen und Juristinnen bestehende Kollektiv ernsthaft mit der Dynamik der Gleichstellung in Bezug auf sechs Aktionsfelder und bietet vierunddreissig Lösungen an. Alle diese Vorschläge sollen idealerweise umgesetzt werden, bevor das Rentenalter der Frauen heraufgesetzt wird.</w:t>
      </w:r>
    </w:p>
    <w:p w:rsidR="006C791E" w:rsidRPr="00D55457" w:rsidRDefault="006C791E" w:rsidP="00390654">
      <w:pPr>
        <w:spacing w:line="300" w:lineRule="atLeast"/>
        <w:rPr>
          <w:rFonts w:ascii="Arial" w:hAnsi="Arial" w:cs="Arial"/>
          <w:bCs/>
          <w:sz w:val="20"/>
          <w:szCs w:val="20"/>
          <w:lang w:eastAsia="fr-CH"/>
        </w:rPr>
      </w:pPr>
    </w:p>
    <w:p w:rsidR="00EE3678" w:rsidRDefault="00622B72" w:rsidP="00390654">
      <w:pPr>
        <w:spacing w:line="300" w:lineRule="atLeast"/>
        <w:rPr>
          <w:rFonts w:ascii="Arial" w:hAnsi="Arial" w:cs="Arial"/>
          <w:bCs/>
          <w:sz w:val="20"/>
          <w:szCs w:val="20"/>
        </w:rPr>
      </w:pPr>
      <w:r>
        <w:rPr>
          <w:rFonts w:ascii="Arial" w:hAnsi="Arial"/>
          <w:bCs/>
          <w:sz w:val="20"/>
          <w:szCs w:val="20"/>
        </w:rPr>
        <w:t xml:space="preserve">Auch nachdem das Volk das Reformpaket Vorsorge 2020 von </w:t>
      </w:r>
      <w:r w:rsidR="007C6A08">
        <w:rPr>
          <w:rFonts w:ascii="Arial" w:hAnsi="Arial"/>
          <w:bCs/>
          <w:sz w:val="20"/>
          <w:szCs w:val="20"/>
        </w:rPr>
        <w:t xml:space="preserve">Alain </w:t>
      </w:r>
      <w:r>
        <w:rPr>
          <w:rFonts w:ascii="Arial" w:hAnsi="Arial"/>
          <w:bCs/>
          <w:sz w:val="20"/>
          <w:szCs w:val="20"/>
        </w:rPr>
        <w:t xml:space="preserve">Berset abgelehnt hat, wird in den laufenden Debatten und Arbeiten für die finanzielle Sicherstellung der AHV in der Zukunft weiter von der Erhöhung des Rentenalters der Frauen von 64 auf 65 Jahre gesprochen. Obwohl diese Erhöhung des Rentenalters der Frauen zu einem grossen Teil für das Scheitern der Volksabstimmung vom 24. September 2017 verantwortlich ist. Travail.Suisse ist nicht gegen ein egalitäres Rentenalter, jedoch zu bestimmten Bedingungen. Die dank dieser Massnahme zusätzlich eingebrachten hunderte Millionen müssen an anderen Fronten kompensiert werden, um die Gleichstellung </w:t>
      </w:r>
      <w:r w:rsidR="007C6A08">
        <w:rPr>
          <w:rFonts w:ascii="Arial" w:hAnsi="Arial"/>
          <w:bCs/>
          <w:sz w:val="20"/>
          <w:szCs w:val="20"/>
        </w:rPr>
        <w:t>der Frauen und Männer</w:t>
      </w:r>
      <w:r>
        <w:rPr>
          <w:rFonts w:ascii="Arial" w:hAnsi="Arial"/>
          <w:bCs/>
          <w:sz w:val="20"/>
          <w:szCs w:val="20"/>
        </w:rPr>
        <w:t xml:space="preserve"> in der Realität zu fördern (bessere Bedingungen für die berufliche Vorsorge der Teilzeitangestellten, Flexibilität bei der Frühpensionierung für benachteiligte Bevölkerungsgruppen, Rahmenbedingungen für die Vereinbarung von Berufs- und Familienleben usw.). </w:t>
      </w:r>
    </w:p>
    <w:p w:rsidR="00622B72" w:rsidRPr="00D55457" w:rsidRDefault="00622B72" w:rsidP="00390654">
      <w:pPr>
        <w:spacing w:line="300" w:lineRule="atLeast"/>
        <w:rPr>
          <w:rFonts w:ascii="Arial" w:hAnsi="Arial" w:cs="Arial"/>
          <w:bCs/>
          <w:sz w:val="20"/>
          <w:szCs w:val="20"/>
          <w:lang w:eastAsia="fr-CH"/>
        </w:rPr>
      </w:pPr>
    </w:p>
    <w:p w:rsidR="006C791E" w:rsidRDefault="00A50E4D" w:rsidP="00390654">
      <w:pPr>
        <w:spacing w:line="300" w:lineRule="atLeast"/>
        <w:rPr>
          <w:rFonts w:ascii="Arial" w:hAnsi="Arial" w:cs="Arial"/>
          <w:bCs/>
          <w:sz w:val="20"/>
          <w:szCs w:val="20"/>
        </w:rPr>
      </w:pPr>
      <w:r>
        <w:rPr>
          <w:rFonts w:ascii="Arial" w:hAnsi="Arial"/>
          <w:bCs/>
          <w:sz w:val="20"/>
          <w:szCs w:val="20"/>
        </w:rPr>
        <w:t xml:space="preserve">Das Kollektiv #65nopeanuts </w:t>
      </w:r>
      <w:r w:rsidR="007C6A08">
        <w:rPr>
          <w:rFonts w:ascii="Arial" w:hAnsi="Arial"/>
          <w:bCs/>
          <w:sz w:val="20"/>
          <w:szCs w:val="20"/>
        </w:rPr>
        <w:t>sieht das nicht anders</w:t>
      </w:r>
      <w:r>
        <w:rPr>
          <w:rFonts w:ascii="Arial" w:hAnsi="Arial"/>
          <w:bCs/>
          <w:sz w:val="20"/>
          <w:szCs w:val="20"/>
        </w:rPr>
        <w:t xml:space="preserve">. Sollen die Frauen mit 65 pensioniert werden, </w:t>
      </w:r>
      <w:r w:rsidR="007C6A08">
        <w:rPr>
          <w:rFonts w:ascii="Arial" w:hAnsi="Arial"/>
          <w:bCs/>
          <w:sz w:val="20"/>
          <w:szCs w:val="20"/>
        </w:rPr>
        <w:t>soll</w:t>
      </w:r>
      <w:r>
        <w:rPr>
          <w:rFonts w:ascii="Arial" w:hAnsi="Arial"/>
          <w:bCs/>
          <w:sz w:val="20"/>
          <w:szCs w:val="20"/>
        </w:rPr>
        <w:t xml:space="preserve"> </w:t>
      </w:r>
      <w:r w:rsidR="007C6A08">
        <w:rPr>
          <w:rFonts w:ascii="Arial" w:hAnsi="Arial"/>
          <w:bCs/>
          <w:sz w:val="20"/>
          <w:szCs w:val="20"/>
        </w:rPr>
        <w:t>dies</w:t>
      </w:r>
      <w:r>
        <w:rPr>
          <w:rFonts w:ascii="Arial" w:hAnsi="Arial"/>
          <w:bCs/>
          <w:sz w:val="20"/>
          <w:szCs w:val="20"/>
        </w:rPr>
        <w:t xml:space="preserve"> kein Klacks</w:t>
      </w:r>
      <w:r w:rsidR="007C6A08">
        <w:rPr>
          <w:rFonts w:ascii="Arial" w:hAnsi="Arial"/>
          <w:bCs/>
          <w:sz w:val="20"/>
          <w:szCs w:val="20"/>
        </w:rPr>
        <w:t xml:space="preserve"> sein</w:t>
      </w:r>
      <w:r>
        <w:rPr>
          <w:rFonts w:ascii="Arial" w:hAnsi="Arial"/>
          <w:bCs/>
          <w:sz w:val="20"/>
          <w:szCs w:val="20"/>
        </w:rPr>
        <w:t xml:space="preserve">. Dieses Kollektiv ruft zu einer breiten Koalition für eine vollständige Gleichstellung auf und es können sich ihr alle anschliessen, indem sie sich in die Unterstützungsliste </w:t>
      </w:r>
      <w:r w:rsidR="007C6A08">
        <w:rPr>
          <w:rFonts w:ascii="Arial" w:hAnsi="Arial"/>
          <w:bCs/>
          <w:sz w:val="20"/>
          <w:szCs w:val="20"/>
        </w:rPr>
        <w:t>der</w:t>
      </w:r>
      <w:r>
        <w:rPr>
          <w:rFonts w:ascii="Arial" w:hAnsi="Arial"/>
          <w:bCs/>
          <w:sz w:val="20"/>
          <w:szCs w:val="20"/>
        </w:rPr>
        <w:t xml:space="preserve"> Aktion eintragen</w:t>
      </w:r>
      <w:r w:rsidR="00D31076">
        <w:rPr>
          <w:rStyle w:val="Funotenzeichen"/>
          <w:rFonts w:ascii="Arial" w:hAnsi="Arial" w:cs="Arial"/>
          <w:bCs/>
          <w:sz w:val="20"/>
          <w:szCs w:val="20"/>
          <w:lang w:val="fr-CH" w:eastAsia="fr-CH"/>
        </w:rPr>
        <w:footnoteReference w:id="7"/>
      </w:r>
      <w:r>
        <w:rPr>
          <w:rFonts w:ascii="Arial" w:hAnsi="Arial"/>
          <w:bCs/>
          <w:sz w:val="20"/>
          <w:szCs w:val="20"/>
        </w:rPr>
        <w:t>.</w:t>
      </w:r>
    </w:p>
    <w:p w:rsidR="00D31076" w:rsidRDefault="00D31076" w:rsidP="00390654">
      <w:pPr>
        <w:spacing w:line="300" w:lineRule="atLeast"/>
        <w:rPr>
          <w:rFonts w:ascii="Arial" w:hAnsi="Arial" w:cs="Arial"/>
          <w:bCs/>
          <w:sz w:val="20"/>
          <w:szCs w:val="20"/>
          <w:lang w:eastAsia="fr-CH"/>
        </w:rPr>
      </w:pPr>
    </w:p>
    <w:p w:rsidR="003C757B" w:rsidRPr="00D55457" w:rsidRDefault="003C757B" w:rsidP="00390654">
      <w:pPr>
        <w:spacing w:line="300" w:lineRule="atLeast"/>
        <w:rPr>
          <w:rFonts w:ascii="Arial" w:hAnsi="Arial" w:cs="Arial"/>
          <w:bCs/>
          <w:sz w:val="20"/>
          <w:szCs w:val="20"/>
          <w:lang w:eastAsia="fr-CH"/>
        </w:rPr>
      </w:pPr>
    </w:p>
    <w:p w:rsidR="00D31076" w:rsidRPr="00D31076" w:rsidRDefault="00D31076" w:rsidP="00390654">
      <w:pPr>
        <w:spacing w:line="300" w:lineRule="atLeast"/>
        <w:rPr>
          <w:rFonts w:ascii="Arial" w:hAnsi="Arial" w:cs="Arial"/>
          <w:b/>
          <w:bCs/>
          <w:sz w:val="20"/>
          <w:szCs w:val="20"/>
        </w:rPr>
      </w:pPr>
      <w:r>
        <w:rPr>
          <w:rFonts w:ascii="Arial" w:hAnsi="Arial"/>
          <w:b/>
          <w:bCs/>
          <w:sz w:val="20"/>
          <w:szCs w:val="20"/>
        </w:rPr>
        <w:t>Aufruf zu einem erneuten Frauenstreik 2019</w:t>
      </w:r>
    </w:p>
    <w:p w:rsidR="00D31076" w:rsidRPr="00D55457" w:rsidRDefault="00D31076" w:rsidP="00390654">
      <w:pPr>
        <w:spacing w:line="300" w:lineRule="atLeast"/>
        <w:rPr>
          <w:rFonts w:ascii="Arial" w:hAnsi="Arial" w:cs="Arial"/>
          <w:bCs/>
          <w:sz w:val="20"/>
          <w:szCs w:val="20"/>
          <w:lang w:eastAsia="fr-CH"/>
        </w:rPr>
      </w:pPr>
    </w:p>
    <w:p w:rsidR="00D31076" w:rsidRDefault="00D31076" w:rsidP="00390654">
      <w:pPr>
        <w:spacing w:line="300" w:lineRule="atLeast"/>
        <w:rPr>
          <w:rFonts w:ascii="Arial" w:hAnsi="Arial" w:cs="Arial"/>
          <w:bCs/>
          <w:sz w:val="20"/>
          <w:szCs w:val="20"/>
        </w:rPr>
      </w:pPr>
      <w:r>
        <w:rPr>
          <w:rFonts w:ascii="Arial" w:hAnsi="Arial"/>
          <w:bCs/>
          <w:sz w:val="20"/>
          <w:szCs w:val="20"/>
        </w:rPr>
        <w:t xml:space="preserve">Eine nationale Mobilisierung ruft für den 14. Juni 2019 zu einem nationalen Frauenstreik auf. Es werden gegenwärtig kantonale Gruppierungen gebildet, um den grossen Streik vom 14. Juni 1991 zu wiederholen, an dem sich eine halbe Million Frauen beteiligte. Dieser Entschluss wurde an der Westschweizer </w:t>
      </w:r>
      <w:proofErr w:type="spellStart"/>
      <w:r>
        <w:rPr>
          <w:rFonts w:ascii="Arial" w:hAnsi="Arial"/>
          <w:bCs/>
          <w:sz w:val="20"/>
          <w:szCs w:val="20"/>
        </w:rPr>
        <w:t>Feministinnentagung</w:t>
      </w:r>
      <w:proofErr w:type="spellEnd"/>
      <w:r>
        <w:rPr>
          <w:rFonts w:ascii="Arial" w:hAnsi="Arial"/>
          <w:bCs/>
          <w:sz w:val="20"/>
          <w:szCs w:val="20"/>
        </w:rPr>
        <w:t xml:space="preserve"> vom 2. Juni 2018 gefasst.  </w:t>
      </w:r>
      <w:r w:rsidR="0068103A" w:rsidRPr="0068103A">
        <w:rPr>
          <w:rFonts w:ascii="Arial" w:hAnsi="Arial"/>
          <w:bCs/>
          <w:sz w:val="20"/>
          <w:szCs w:val="20"/>
        </w:rPr>
        <w:t>Dieser Streik soll genau wie jener von 1991 mit den lila Tüchern, dem Bummelstreik in den Familien und den Demonstrationszügen nicht nur symbolisch sein</w:t>
      </w:r>
      <w:r>
        <w:rPr>
          <w:rFonts w:ascii="Arial" w:hAnsi="Arial"/>
          <w:bCs/>
          <w:sz w:val="20"/>
          <w:szCs w:val="20"/>
        </w:rPr>
        <w:t>. Der anstehende Streik wird sowohl für das berufliche als auch das private Umfeld organisiert.</w:t>
      </w:r>
    </w:p>
    <w:p w:rsidR="00BE490B" w:rsidRPr="00D55457" w:rsidRDefault="00BE490B" w:rsidP="00390654">
      <w:pPr>
        <w:spacing w:line="300" w:lineRule="atLeast"/>
        <w:rPr>
          <w:rFonts w:ascii="Arial" w:hAnsi="Arial" w:cs="Arial"/>
          <w:bCs/>
          <w:sz w:val="20"/>
          <w:szCs w:val="20"/>
          <w:lang w:eastAsia="fr-CH"/>
        </w:rPr>
      </w:pPr>
    </w:p>
    <w:p w:rsidR="00BE490B" w:rsidRDefault="00BE490B" w:rsidP="00390654">
      <w:pPr>
        <w:spacing w:line="300" w:lineRule="atLeast"/>
        <w:rPr>
          <w:rFonts w:ascii="Arial" w:hAnsi="Arial" w:cs="Arial"/>
          <w:bCs/>
          <w:sz w:val="20"/>
          <w:szCs w:val="20"/>
        </w:rPr>
      </w:pPr>
      <w:r>
        <w:rPr>
          <w:rFonts w:ascii="Arial" w:hAnsi="Arial"/>
          <w:bCs/>
          <w:sz w:val="20"/>
          <w:szCs w:val="20"/>
        </w:rPr>
        <w:t xml:space="preserve">Richtet sich der Aufruf an alle Frauen, werden zweifellos auch die Männer folgen. Sei es nur, um auch ihren Teil der Gleichstellung einzufordern, insbesondere die Einführung eines bezahlten Vaterschaftsurlaubs von 20 Tagen, wie dies die Initiative «Für einen vernünftigen Vaterschaftsurlaub - zum Nutzen der ganzen Familie» verlangt. Denn wie der FDP-Nationalrat Philippe </w:t>
      </w:r>
      <w:proofErr w:type="spellStart"/>
      <w:r>
        <w:rPr>
          <w:rFonts w:ascii="Arial" w:hAnsi="Arial"/>
          <w:bCs/>
          <w:sz w:val="20"/>
          <w:szCs w:val="20"/>
        </w:rPr>
        <w:t>Nantermod</w:t>
      </w:r>
      <w:proofErr w:type="spellEnd"/>
      <w:r>
        <w:rPr>
          <w:rFonts w:ascii="Arial" w:hAnsi="Arial"/>
          <w:bCs/>
          <w:sz w:val="20"/>
          <w:szCs w:val="20"/>
        </w:rPr>
        <w:t xml:space="preserve"> kürzlich in einer Kolumne in der Zeitung Le </w:t>
      </w:r>
      <w:proofErr w:type="spellStart"/>
      <w:r>
        <w:rPr>
          <w:rFonts w:ascii="Arial" w:hAnsi="Arial"/>
          <w:bCs/>
          <w:sz w:val="20"/>
          <w:szCs w:val="20"/>
        </w:rPr>
        <w:t>Temps</w:t>
      </w:r>
      <w:proofErr w:type="spellEnd"/>
      <w:r>
        <w:rPr>
          <w:rFonts w:ascii="Arial" w:hAnsi="Arial"/>
          <w:bCs/>
          <w:sz w:val="20"/>
          <w:szCs w:val="20"/>
        </w:rPr>
        <w:t xml:space="preserve"> schrieb, ist die «Gleichstellung weder Frauensache» noch «eine Marotte der Linken».</w:t>
      </w:r>
    </w:p>
    <w:p w:rsidR="00BE490B" w:rsidRPr="00D55457" w:rsidRDefault="00BE490B" w:rsidP="00390654">
      <w:pPr>
        <w:spacing w:line="300" w:lineRule="atLeast"/>
        <w:rPr>
          <w:rFonts w:ascii="Arial" w:hAnsi="Arial" w:cs="Arial"/>
          <w:bCs/>
          <w:sz w:val="20"/>
          <w:szCs w:val="20"/>
          <w:lang w:eastAsia="fr-CH"/>
        </w:rPr>
      </w:pPr>
    </w:p>
    <w:p w:rsidR="00BE490B" w:rsidRDefault="00C34538" w:rsidP="00390654">
      <w:pPr>
        <w:spacing w:line="300" w:lineRule="atLeast"/>
        <w:rPr>
          <w:rFonts w:ascii="Arial" w:hAnsi="Arial" w:cs="Arial"/>
          <w:bCs/>
          <w:sz w:val="20"/>
          <w:szCs w:val="20"/>
        </w:rPr>
      </w:pPr>
      <w:r>
        <w:rPr>
          <w:rFonts w:ascii="Arial" w:hAnsi="Arial"/>
          <w:bCs/>
          <w:sz w:val="20"/>
          <w:szCs w:val="20"/>
        </w:rPr>
        <w:t>Unser Land erlebt gerade ein wahres «Momentum» der Gleichstellung, das bis zu den nächsten nationalen Wahlen 2019 seine Wirkung zeigen wird. Travail.Suisse beteiligt sich aktiv daran.</w:t>
      </w:r>
    </w:p>
    <w:p w:rsidR="004141C8" w:rsidRPr="00D55457" w:rsidRDefault="004141C8" w:rsidP="00C660DC">
      <w:pPr>
        <w:spacing w:line="300" w:lineRule="atLeast"/>
        <w:rPr>
          <w:rFonts w:ascii="Arial" w:hAnsi="Arial" w:cs="Arial"/>
          <w:bCs/>
          <w:sz w:val="20"/>
          <w:szCs w:val="20"/>
          <w:lang w:eastAsia="fr-CH"/>
        </w:rPr>
      </w:pPr>
    </w:p>
    <w:p w:rsidR="00C660DC" w:rsidRDefault="00C660DC"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49279A" w:rsidRDefault="0049279A" w:rsidP="00C660DC">
      <w:pPr>
        <w:spacing w:line="300" w:lineRule="atLeast"/>
        <w:rPr>
          <w:rFonts w:ascii="Arial" w:hAnsi="Arial"/>
          <w:i/>
          <w:sz w:val="20"/>
          <w:szCs w:val="20"/>
        </w:rPr>
      </w:pPr>
    </w:p>
    <w:p w:rsidR="003C757B" w:rsidRDefault="003C757B" w:rsidP="00C660DC">
      <w:pPr>
        <w:spacing w:line="300" w:lineRule="atLeast"/>
        <w:rPr>
          <w:rFonts w:ascii="Arial" w:hAnsi="Arial"/>
          <w:i/>
          <w:sz w:val="20"/>
          <w:szCs w:val="20"/>
        </w:rPr>
      </w:pPr>
    </w:p>
    <w:p w:rsidR="003C757B" w:rsidRPr="00D55457" w:rsidRDefault="003C757B" w:rsidP="00C660DC">
      <w:pPr>
        <w:spacing w:line="300" w:lineRule="atLeast"/>
        <w:rPr>
          <w:rFonts w:ascii="Arial" w:hAnsi="Arial" w:cs="Arial"/>
          <w:bCs/>
          <w:sz w:val="20"/>
          <w:szCs w:val="20"/>
          <w:lang w:eastAsia="fr-CH"/>
        </w:rPr>
      </w:pPr>
    </w:p>
    <w:p w:rsidR="00A00448" w:rsidRPr="00526632" w:rsidRDefault="00A00448" w:rsidP="00A00448">
      <w:pPr>
        <w:spacing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A00448" w:rsidRPr="00A00448" w:rsidRDefault="0049279A" w:rsidP="00A00448">
      <w:pPr>
        <w:spacing w:line="300" w:lineRule="exact"/>
        <w:jc w:val="center"/>
        <w:rPr>
          <w:rFonts w:ascii="Arial" w:hAnsi="Arial" w:cs="Arial"/>
          <w:sz w:val="20"/>
          <w:szCs w:val="20"/>
        </w:rPr>
      </w:pPr>
      <w:hyperlink r:id="rId8" w:history="1">
        <w:r w:rsidR="00C34538">
          <w:rPr>
            <w:rStyle w:val="Hyperlink"/>
            <w:rFonts w:ascii="Arial" w:hAnsi="Arial"/>
            <w:sz w:val="20"/>
            <w:szCs w:val="20"/>
          </w:rPr>
          <w:t>www.tra</w:t>
        </w:r>
        <w:bookmarkStart w:id="0" w:name="_GoBack"/>
        <w:bookmarkEnd w:id="0"/>
        <w:r w:rsidR="00C34538">
          <w:rPr>
            <w:rStyle w:val="Hyperlink"/>
            <w:rFonts w:ascii="Arial" w:hAnsi="Arial"/>
            <w:sz w:val="20"/>
            <w:szCs w:val="20"/>
          </w:rPr>
          <w:t>vailsuisse.ch</w:t>
        </w:r>
      </w:hyperlink>
      <w:r w:rsidR="00C34538">
        <w:rPr>
          <w:rFonts w:ascii="Arial" w:hAnsi="Arial"/>
          <w:sz w:val="20"/>
          <w:szCs w:val="20"/>
        </w:rPr>
        <w:t xml:space="preserve"> </w:t>
      </w:r>
    </w:p>
    <w:sectPr w:rsidR="00A00448" w:rsidRPr="00A00448" w:rsidSect="00A00448">
      <w:endnotePr>
        <w:numFmt w:val="decimal"/>
      </w:endnotePr>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1B" w:rsidRDefault="0013581B">
      <w:r>
        <w:separator/>
      </w:r>
    </w:p>
  </w:endnote>
  <w:endnote w:type="continuationSeparator" w:id="0">
    <w:p w:rsidR="0013581B" w:rsidRDefault="0013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1B" w:rsidRDefault="0013581B">
      <w:r>
        <w:separator/>
      </w:r>
    </w:p>
  </w:footnote>
  <w:footnote w:type="continuationSeparator" w:id="0">
    <w:p w:rsidR="0013581B" w:rsidRDefault="0013581B">
      <w:r>
        <w:continuationSeparator/>
      </w:r>
    </w:p>
  </w:footnote>
  <w:footnote w:id="1">
    <w:p w:rsidR="009F6794" w:rsidRPr="003C757B" w:rsidRDefault="009F6794" w:rsidP="003C757B">
      <w:pPr>
        <w:pStyle w:val="Funotentext"/>
        <w:spacing w:line="280" w:lineRule="atLeast"/>
        <w:ind w:left="142" w:hanging="142"/>
        <w:rPr>
          <w:rFonts w:ascii="Arial" w:hAnsi="Arial" w:cs="Arial"/>
          <w:sz w:val="16"/>
          <w:szCs w:val="16"/>
        </w:rPr>
      </w:pPr>
      <w:r w:rsidRPr="003C757B">
        <w:rPr>
          <w:rStyle w:val="Funotenzeichen"/>
          <w:rFonts w:ascii="Arial" w:hAnsi="Arial" w:cs="Arial"/>
          <w:sz w:val="16"/>
          <w:szCs w:val="16"/>
        </w:rPr>
        <w:footnoteRef/>
      </w:r>
      <w:r w:rsidRPr="003C757B">
        <w:rPr>
          <w:rFonts w:ascii="Arial" w:hAnsi="Arial" w:cs="Arial"/>
          <w:sz w:val="16"/>
          <w:szCs w:val="16"/>
        </w:rPr>
        <w:t xml:space="preserve"> </w:t>
      </w:r>
      <w:hyperlink r:id="rId1" w:history="1">
        <w:r w:rsidRPr="003C757B">
          <w:rPr>
            <w:rStyle w:val="Hyperlink"/>
            <w:rFonts w:ascii="Arial" w:hAnsi="Arial" w:cs="Arial"/>
            <w:bCs/>
            <w:sz w:val="16"/>
            <w:szCs w:val="16"/>
          </w:rPr>
          <w:t>https://metoomvmt.org/</w:t>
        </w:r>
      </w:hyperlink>
      <w:r w:rsidRPr="003C757B">
        <w:rPr>
          <w:rFonts w:ascii="Arial" w:hAnsi="Arial" w:cs="Arial"/>
          <w:bCs/>
          <w:sz w:val="16"/>
          <w:szCs w:val="16"/>
        </w:rPr>
        <w:t xml:space="preserve"> </w:t>
      </w:r>
    </w:p>
  </w:footnote>
  <w:footnote w:id="2">
    <w:p w:rsidR="003375DC" w:rsidRPr="003C757B" w:rsidRDefault="003375DC" w:rsidP="003C757B">
      <w:pPr>
        <w:pStyle w:val="Funotentext"/>
        <w:spacing w:line="280" w:lineRule="atLeast"/>
        <w:ind w:left="142" w:hanging="142"/>
        <w:rPr>
          <w:rFonts w:ascii="Arial" w:hAnsi="Arial" w:cs="Arial"/>
          <w:sz w:val="16"/>
          <w:szCs w:val="16"/>
        </w:rPr>
      </w:pPr>
      <w:r w:rsidRPr="003C757B">
        <w:rPr>
          <w:rStyle w:val="Funotenzeichen"/>
          <w:rFonts w:ascii="Arial" w:hAnsi="Arial" w:cs="Arial"/>
          <w:sz w:val="16"/>
          <w:szCs w:val="16"/>
        </w:rPr>
        <w:footnoteRef/>
      </w:r>
      <w:r w:rsidRPr="003C757B">
        <w:rPr>
          <w:rFonts w:ascii="Arial" w:hAnsi="Arial" w:cs="Arial"/>
          <w:sz w:val="16"/>
          <w:szCs w:val="16"/>
        </w:rPr>
        <w:t xml:space="preserve"> EBG und SECO, «</w:t>
      </w:r>
      <w:hyperlink r:id="rId2" w:history="1">
        <w:r w:rsidRPr="003C757B">
          <w:rPr>
            <w:rStyle w:val="Hyperlink"/>
            <w:rFonts w:ascii="Arial" w:hAnsi="Arial" w:cs="Arial"/>
            <w:sz w:val="16"/>
            <w:szCs w:val="16"/>
          </w:rPr>
          <w:t>Risiko und Verbreitung sexueller Belästigung am Arbeitsplatz</w:t>
        </w:r>
      </w:hyperlink>
      <w:r w:rsidRPr="003C757B">
        <w:rPr>
          <w:rFonts w:ascii="Arial" w:hAnsi="Arial" w:cs="Arial"/>
          <w:sz w:val="16"/>
          <w:szCs w:val="16"/>
        </w:rPr>
        <w:t>», Bern 2008.</w:t>
      </w:r>
    </w:p>
  </w:footnote>
  <w:footnote w:id="3">
    <w:p w:rsidR="003375DC" w:rsidRPr="003C757B" w:rsidRDefault="003375DC" w:rsidP="003C757B">
      <w:pPr>
        <w:pStyle w:val="Funotentext"/>
        <w:ind w:left="142" w:hanging="142"/>
        <w:rPr>
          <w:rFonts w:ascii="Arial" w:hAnsi="Arial" w:cs="Arial"/>
          <w:sz w:val="16"/>
          <w:szCs w:val="16"/>
        </w:rPr>
      </w:pPr>
      <w:r w:rsidRPr="003C757B">
        <w:rPr>
          <w:rStyle w:val="Funotenzeichen"/>
          <w:rFonts w:ascii="Arial" w:hAnsi="Arial" w:cs="Arial"/>
          <w:sz w:val="16"/>
          <w:szCs w:val="16"/>
        </w:rPr>
        <w:footnoteRef/>
      </w:r>
      <w:r w:rsidRPr="003C757B">
        <w:rPr>
          <w:rFonts w:ascii="Arial" w:hAnsi="Arial" w:cs="Arial"/>
          <w:sz w:val="16"/>
          <w:szCs w:val="16"/>
        </w:rPr>
        <w:t xml:space="preserve"> </w:t>
      </w:r>
      <w:hyperlink r:id="rId3" w:history="1">
        <w:r w:rsidRPr="003C757B">
          <w:rPr>
            <w:rStyle w:val="Hyperlink"/>
            <w:rFonts w:ascii="Arial" w:hAnsi="Arial" w:cs="Arial"/>
            <w:sz w:val="16"/>
            <w:szCs w:val="16"/>
          </w:rPr>
          <w:t>https://www.ebg.admin.ch/ebg/de/home/dokumentation/publikationen/publikationen-zu-gleichstellung-im-erwerbsleben/sexuelle-belaestigung-am-arbeitsplatz.html</w:t>
        </w:r>
      </w:hyperlink>
      <w:r w:rsidRPr="003C757B">
        <w:rPr>
          <w:rFonts w:ascii="Arial" w:hAnsi="Arial" w:cs="Arial"/>
          <w:sz w:val="16"/>
          <w:szCs w:val="16"/>
        </w:rPr>
        <w:t xml:space="preserve"> </w:t>
      </w:r>
    </w:p>
  </w:footnote>
  <w:footnote w:id="4">
    <w:p w:rsidR="003375DC" w:rsidRPr="003C757B" w:rsidRDefault="003375DC" w:rsidP="003C757B">
      <w:pPr>
        <w:pStyle w:val="Funotentext"/>
        <w:ind w:left="142" w:hanging="142"/>
        <w:rPr>
          <w:rFonts w:ascii="Arial" w:hAnsi="Arial" w:cs="Arial"/>
          <w:sz w:val="16"/>
          <w:szCs w:val="16"/>
        </w:rPr>
      </w:pPr>
      <w:r w:rsidRPr="003C757B">
        <w:rPr>
          <w:rStyle w:val="Funotenzeichen"/>
          <w:rFonts w:ascii="Arial" w:hAnsi="Arial" w:cs="Arial"/>
          <w:sz w:val="16"/>
          <w:szCs w:val="16"/>
        </w:rPr>
        <w:footnoteRef/>
      </w:r>
      <w:hyperlink r:id="rId4" w:history="1">
        <w:r w:rsidRPr="003C757B">
          <w:rPr>
            <w:rStyle w:val="Hyperlink"/>
            <w:rFonts w:ascii="Arial" w:hAnsi="Arial" w:cs="Arial"/>
            <w:sz w:val="16"/>
            <w:szCs w:val="16"/>
          </w:rPr>
          <w:t>https://www.seco.admin.ch/seco/de/home/Arbeit/Personenfreizugigkeit_Arbeitsbeziehungen/Arbeitsrecht/FAQ_zum_privaten_Arbeitsrecht/sexuelle-belaestigung-am-arbeitsplatz-und-mobbing.html</w:t>
        </w:r>
      </w:hyperlink>
      <w:r w:rsidRPr="003C757B">
        <w:rPr>
          <w:rFonts w:ascii="Arial" w:hAnsi="Arial" w:cs="Arial"/>
          <w:sz w:val="16"/>
          <w:szCs w:val="16"/>
        </w:rPr>
        <w:t xml:space="preserve"> </w:t>
      </w:r>
    </w:p>
  </w:footnote>
  <w:footnote w:id="5">
    <w:p w:rsidR="004B2BD4" w:rsidRPr="003C757B" w:rsidRDefault="004B2BD4" w:rsidP="003C757B">
      <w:pPr>
        <w:pStyle w:val="Funotentext"/>
        <w:ind w:left="142" w:hanging="142"/>
        <w:rPr>
          <w:rFonts w:ascii="Arial" w:hAnsi="Arial" w:cs="Arial"/>
          <w:sz w:val="16"/>
          <w:szCs w:val="16"/>
        </w:rPr>
      </w:pPr>
      <w:r w:rsidRPr="003C757B">
        <w:rPr>
          <w:rStyle w:val="Funotenzeichen"/>
          <w:rFonts w:ascii="Arial" w:hAnsi="Arial" w:cs="Arial"/>
          <w:sz w:val="16"/>
          <w:szCs w:val="16"/>
        </w:rPr>
        <w:footnoteRef/>
      </w:r>
      <w:r w:rsidRPr="003C757B">
        <w:rPr>
          <w:rFonts w:ascii="Arial" w:hAnsi="Arial" w:cs="Arial"/>
          <w:sz w:val="16"/>
          <w:szCs w:val="16"/>
        </w:rPr>
        <w:t xml:space="preserve"> </w:t>
      </w:r>
      <w:hyperlink r:id="rId5" w:history="1">
        <w:r w:rsidRPr="003C757B">
          <w:rPr>
            <w:rStyle w:val="Hyperlink"/>
            <w:rFonts w:ascii="Arial" w:hAnsi="Arial" w:cs="Arial"/>
            <w:sz w:val="16"/>
            <w:szCs w:val="16"/>
          </w:rPr>
          <w:t>http://www.travailsuisse.ch/aktuell/positionen?lang=de&amp;which_abo=</w:t>
        </w:r>
      </w:hyperlink>
      <w:r w:rsidRPr="003C757B">
        <w:rPr>
          <w:rFonts w:ascii="Arial" w:hAnsi="Arial" w:cs="Arial"/>
          <w:sz w:val="16"/>
          <w:szCs w:val="16"/>
        </w:rPr>
        <w:t xml:space="preserve"> </w:t>
      </w:r>
    </w:p>
  </w:footnote>
  <w:footnote w:id="6">
    <w:p w:rsidR="003C757B" w:rsidRPr="003C757B" w:rsidRDefault="003C757B" w:rsidP="003C757B">
      <w:pPr>
        <w:pStyle w:val="Funotentext"/>
        <w:ind w:left="142" w:hanging="142"/>
        <w:rPr>
          <w:rFonts w:ascii="Arial" w:hAnsi="Arial" w:cs="Arial"/>
          <w:sz w:val="16"/>
          <w:szCs w:val="16"/>
        </w:rPr>
      </w:pPr>
      <w:r w:rsidRPr="003C757B">
        <w:rPr>
          <w:rStyle w:val="Funotenzeichen"/>
          <w:rFonts w:ascii="Arial" w:hAnsi="Arial" w:cs="Arial"/>
          <w:sz w:val="16"/>
          <w:szCs w:val="16"/>
        </w:rPr>
        <w:footnoteRef/>
      </w:r>
      <w:r w:rsidRPr="003C757B">
        <w:rPr>
          <w:rFonts w:ascii="Arial" w:hAnsi="Arial" w:cs="Arial"/>
          <w:sz w:val="16"/>
          <w:szCs w:val="16"/>
        </w:rPr>
        <w:t xml:space="preserve"> </w:t>
      </w:r>
      <w:hyperlink r:id="rId6" w:history="1">
        <w:r w:rsidRPr="003C757B">
          <w:rPr>
            <w:rStyle w:val="Hyperlink"/>
            <w:rFonts w:ascii="Arial" w:hAnsi="Arial" w:cs="Arial"/>
            <w:sz w:val="16"/>
            <w:szCs w:val="16"/>
          </w:rPr>
          <w:t>www.65nopeanuts.ch</w:t>
        </w:r>
      </w:hyperlink>
      <w:r w:rsidRPr="003C757B">
        <w:rPr>
          <w:rFonts w:ascii="Arial" w:hAnsi="Arial" w:cs="Arial"/>
          <w:sz w:val="16"/>
          <w:szCs w:val="16"/>
        </w:rPr>
        <w:t xml:space="preserve"> </w:t>
      </w:r>
    </w:p>
  </w:footnote>
  <w:footnote w:id="7">
    <w:p w:rsidR="00D31076" w:rsidRPr="003C757B" w:rsidRDefault="00D31076" w:rsidP="003C757B">
      <w:pPr>
        <w:pStyle w:val="Funotentext"/>
        <w:ind w:left="142" w:hanging="142"/>
        <w:rPr>
          <w:rFonts w:ascii="Arial" w:hAnsi="Arial" w:cs="Arial"/>
          <w:sz w:val="16"/>
          <w:szCs w:val="16"/>
        </w:rPr>
      </w:pPr>
      <w:r w:rsidRPr="003C757B">
        <w:rPr>
          <w:rStyle w:val="Funotenzeichen"/>
          <w:rFonts w:ascii="Arial" w:hAnsi="Arial" w:cs="Arial"/>
          <w:sz w:val="16"/>
          <w:szCs w:val="16"/>
        </w:rPr>
        <w:footnoteRef/>
      </w:r>
      <w:r w:rsidRPr="003C757B">
        <w:rPr>
          <w:rFonts w:ascii="Arial" w:hAnsi="Arial" w:cs="Arial"/>
          <w:sz w:val="16"/>
          <w:szCs w:val="16"/>
        </w:rPr>
        <w:t xml:space="preserve"> </w:t>
      </w:r>
      <w:hyperlink r:id="rId7" w:history="1">
        <w:r w:rsidRPr="003C757B">
          <w:rPr>
            <w:rStyle w:val="Hyperlink"/>
            <w:rFonts w:ascii="Arial" w:hAnsi="Arial" w:cs="Arial"/>
            <w:sz w:val="16"/>
            <w:szCs w:val="16"/>
          </w:rPr>
          <w:t>https://www.65nopeanuts.ch/rejoignez-nous/</w:t>
        </w:r>
      </w:hyperlink>
      <w:r w:rsidRPr="003C757B">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009BF"/>
    <w:rsid w:val="00002AC9"/>
    <w:rsid w:val="0000549E"/>
    <w:rsid w:val="000108E0"/>
    <w:rsid w:val="00014DDD"/>
    <w:rsid w:val="000155D1"/>
    <w:rsid w:val="00016AF4"/>
    <w:rsid w:val="00023848"/>
    <w:rsid w:val="00026A29"/>
    <w:rsid w:val="00030A9F"/>
    <w:rsid w:val="00030F43"/>
    <w:rsid w:val="00041206"/>
    <w:rsid w:val="0005158E"/>
    <w:rsid w:val="00054499"/>
    <w:rsid w:val="00054509"/>
    <w:rsid w:val="0005547B"/>
    <w:rsid w:val="00061B16"/>
    <w:rsid w:val="000622E6"/>
    <w:rsid w:val="00063EBB"/>
    <w:rsid w:val="00071C58"/>
    <w:rsid w:val="00075246"/>
    <w:rsid w:val="00080482"/>
    <w:rsid w:val="000858B0"/>
    <w:rsid w:val="0008727D"/>
    <w:rsid w:val="00087F4A"/>
    <w:rsid w:val="0009118E"/>
    <w:rsid w:val="00093AE4"/>
    <w:rsid w:val="00094FF9"/>
    <w:rsid w:val="00095976"/>
    <w:rsid w:val="000A15CC"/>
    <w:rsid w:val="000A1E88"/>
    <w:rsid w:val="000A545B"/>
    <w:rsid w:val="000A7651"/>
    <w:rsid w:val="000C00E1"/>
    <w:rsid w:val="000C0A6B"/>
    <w:rsid w:val="000C1427"/>
    <w:rsid w:val="000C2CFA"/>
    <w:rsid w:val="000C6EC2"/>
    <w:rsid w:val="000D093A"/>
    <w:rsid w:val="000D23C8"/>
    <w:rsid w:val="000D4458"/>
    <w:rsid w:val="000E2BF1"/>
    <w:rsid w:val="000F413A"/>
    <w:rsid w:val="0010321C"/>
    <w:rsid w:val="00105C72"/>
    <w:rsid w:val="00110B55"/>
    <w:rsid w:val="0011128D"/>
    <w:rsid w:val="00112065"/>
    <w:rsid w:val="00122B96"/>
    <w:rsid w:val="001233BC"/>
    <w:rsid w:val="001242BF"/>
    <w:rsid w:val="0012512B"/>
    <w:rsid w:val="0013246A"/>
    <w:rsid w:val="0013581B"/>
    <w:rsid w:val="001541BB"/>
    <w:rsid w:val="00155207"/>
    <w:rsid w:val="0015637E"/>
    <w:rsid w:val="001664F3"/>
    <w:rsid w:val="00167B25"/>
    <w:rsid w:val="00170634"/>
    <w:rsid w:val="00170660"/>
    <w:rsid w:val="001A0D00"/>
    <w:rsid w:val="001A3775"/>
    <w:rsid w:val="001C5C09"/>
    <w:rsid w:val="001D4C74"/>
    <w:rsid w:val="001D765D"/>
    <w:rsid w:val="001D7A37"/>
    <w:rsid w:val="001F3E56"/>
    <w:rsid w:val="00201083"/>
    <w:rsid w:val="002055A3"/>
    <w:rsid w:val="00206E81"/>
    <w:rsid w:val="002078F2"/>
    <w:rsid w:val="00213423"/>
    <w:rsid w:val="00214C32"/>
    <w:rsid w:val="00215C20"/>
    <w:rsid w:val="00217C6D"/>
    <w:rsid w:val="002206D4"/>
    <w:rsid w:val="00221411"/>
    <w:rsid w:val="0023339F"/>
    <w:rsid w:val="00242F58"/>
    <w:rsid w:val="0024498A"/>
    <w:rsid w:val="002464CB"/>
    <w:rsid w:val="00246D6B"/>
    <w:rsid w:val="002511B3"/>
    <w:rsid w:val="00251961"/>
    <w:rsid w:val="002522EA"/>
    <w:rsid w:val="00252954"/>
    <w:rsid w:val="002533AF"/>
    <w:rsid w:val="00257735"/>
    <w:rsid w:val="00261996"/>
    <w:rsid w:val="00261BE8"/>
    <w:rsid w:val="00264AD8"/>
    <w:rsid w:val="00265CAD"/>
    <w:rsid w:val="00267223"/>
    <w:rsid w:val="002728EE"/>
    <w:rsid w:val="0027320D"/>
    <w:rsid w:val="002842AB"/>
    <w:rsid w:val="00290C4F"/>
    <w:rsid w:val="00291C71"/>
    <w:rsid w:val="002A2E41"/>
    <w:rsid w:val="002A337A"/>
    <w:rsid w:val="002B0838"/>
    <w:rsid w:val="002B23E4"/>
    <w:rsid w:val="002B3692"/>
    <w:rsid w:val="002B5A38"/>
    <w:rsid w:val="002B62C1"/>
    <w:rsid w:val="002C258F"/>
    <w:rsid w:val="002C6312"/>
    <w:rsid w:val="002D2C09"/>
    <w:rsid w:val="002D2CDD"/>
    <w:rsid w:val="002D612B"/>
    <w:rsid w:val="002E2458"/>
    <w:rsid w:val="002F6332"/>
    <w:rsid w:val="00303882"/>
    <w:rsid w:val="0030419E"/>
    <w:rsid w:val="0030593A"/>
    <w:rsid w:val="00305A96"/>
    <w:rsid w:val="00305DBC"/>
    <w:rsid w:val="00306DD6"/>
    <w:rsid w:val="00317E85"/>
    <w:rsid w:val="0033383A"/>
    <w:rsid w:val="00334CA8"/>
    <w:rsid w:val="00335663"/>
    <w:rsid w:val="003359BB"/>
    <w:rsid w:val="00335E95"/>
    <w:rsid w:val="003375DC"/>
    <w:rsid w:val="003447AC"/>
    <w:rsid w:val="00356F2A"/>
    <w:rsid w:val="00364C95"/>
    <w:rsid w:val="00365A23"/>
    <w:rsid w:val="00371089"/>
    <w:rsid w:val="0037392D"/>
    <w:rsid w:val="00374937"/>
    <w:rsid w:val="00374F32"/>
    <w:rsid w:val="0038476B"/>
    <w:rsid w:val="003858FC"/>
    <w:rsid w:val="00386970"/>
    <w:rsid w:val="003874C5"/>
    <w:rsid w:val="00390334"/>
    <w:rsid w:val="00390654"/>
    <w:rsid w:val="00395845"/>
    <w:rsid w:val="00397AA9"/>
    <w:rsid w:val="003A44EA"/>
    <w:rsid w:val="003A65AE"/>
    <w:rsid w:val="003B156F"/>
    <w:rsid w:val="003B21B7"/>
    <w:rsid w:val="003C22D7"/>
    <w:rsid w:val="003C2F10"/>
    <w:rsid w:val="003C4FC5"/>
    <w:rsid w:val="003C757B"/>
    <w:rsid w:val="003D1035"/>
    <w:rsid w:val="003D4500"/>
    <w:rsid w:val="003D5810"/>
    <w:rsid w:val="003E0394"/>
    <w:rsid w:val="003E6241"/>
    <w:rsid w:val="003F06A6"/>
    <w:rsid w:val="00404860"/>
    <w:rsid w:val="0040557E"/>
    <w:rsid w:val="0041160D"/>
    <w:rsid w:val="00413661"/>
    <w:rsid w:val="004141C8"/>
    <w:rsid w:val="00416BE5"/>
    <w:rsid w:val="00417F48"/>
    <w:rsid w:val="00422730"/>
    <w:rsid w:val="004227E2"/>
    <w:rsid w:val="00427479"/>
    <w:rsid w:val="00432457"/>
    <w:rsid w:val="0043254B"/>
    <w:rsid w:val="004334F4"/>
    <w:rsid w:val="00440610"/>
    <w:rsid w:val="004432C2"/>
    <w:rsid w:val="00450D2A"/>
    <w:rsid w:val="00450F9D"/>
    <w:rsid w:val="00453935"/>
    <w:rsid w:val="004601E4"/>
    <w:rsid w:val="00470698"/>
    <w:rsid w:val="00474B9A"/>
    <w:rsid w:val="00475110"/>
    <w:rsid w:val="004755CA"/>
    <w:rsid w:val="004829AA"/>
    <w:rsid w:val="00482A27"/>
    <w:rsid w:val="00484318"/>
    <w:rsid w:val="00486706"/>
    <w:rsid w:val="0049279A"/>
    <w:rsid w:val="004955FB"/>
    <w:rsid w:val="004B0A82"/>
    <w:rsid w:val="004B2BD4"/>
    <w:rsid w:val="004B3879"/>
    <w:rsid w:val="004C5446"/>
    <w:rsid w:val="004D229F"/>
    <w:rsid w:val="004D4B31"/>
    <w:rsid w:val="004E0B73"/>
    <w:rsid w:val="004E23D8"/>
    <w:rsid w:val="004E37AE"/>
    <w:rsid w:val="004E3D23"/>
    <w:rsid w:val="004E7022"/>
    <w:rsid w:val="005031F6"/>
    <w:rsid w:val="00510202"/>
    <w:rsid w:val="00513963"/>
    <w:rsid w:val="00522C9C"/>
    <w:rsid w:val="00522D5C"/>
    <w:rsid w:val="00533257"/>
    <w:rsid w:val="00536BF0"/>
    <w:rsid w:val="0053770F"/>
    <w:rsid w:val="00544040"/>
    <w:rsid w:val="005447B6"/>
    <w:rsid w:val="005461DE"/>
    <w:rsid w:val="005502E6"/>
    <w:rsid w:val="00551EEC"/>
    <w:rsid w:val="00552D53"/>
    <w:rsid w:val="005550A5"/>
    <w:rsid w:val="00560B71"/>
    <w:rsid w:val="00561EBA"/>
    <w:rsid w:val="00570FEE"/>
    <w:rsid w:val="005718E4"/>
    <w:rsid w:val="00575E74"/>
    <w:rsid w:val="0057611C"/>
    <w:rsid w:val="00576C89"/>
    <w:rsid w:val="0058098E"/>
    <w:rsid w:val="005A014F"/>
    <w:rsid w:val="005B5731"/>
    <w:rsid w:val="005C09D8"/>
    <w:rsid w:val="005C3313"/>
    <w:rsid w:val="005C5823"/>
    <w:rsid w:val="005C6C31"/>
    <w:rsid w:val="005D08DD"/>
    <w:rsid w:val="005D6695"/>
    <w:rsid w:val="005E5974"/>
    <w:rsid w:val="005F0A71"/>
    <w:rsid w:val="005F18CA"/>
    <w:rsid w:val="005F3850"/>
    <w:rsid w:val="005F5E36"/>
    <w:rsid w:val="00605857"/>
    <w:rsid w:val="0061499C"/>
    <w:rsid w:val="00620A03"/>
    <w:rsid w:val="006225C6"/>
    <w:rsid w:val="00622B72"/>
    <w:rsid w:val="0062315E"/>
    <w:rsid w:val="006312EC"/>
    <w:rsid w:val="0063670E"/>
    <w:rsid w:val="00647A67"/>
    <w:rsid w:val="00653091"/>
    <w:rsid w:val="00663B59"/>
    <w:rsid w:val="006747EB"/>
    <w:rsid w:val="006748FC"/>
    <w:rsid w:val="00680211"/>
    <w:rsid w:val="0068103A"/>
    <w:rsid w:val="006829A6"/>
    <w:rsid w:val="00686FAB"/>
    <w:rsid w:val="0068738B"/>
    <w:rsid w:val="00694ADE"/>
    <w:rsid w:val="006B2336"/>
    <w:rsid w:val="006B2469"/>
    <w:rsid w:val="006C09EF"/>
    <w:rsid w:val="006C26D0"/>
    <w:rsid w:val="006C657B"/>
    <w:rsid w:val="006C7018"/>
    <w:rsid w:val="006C791E"/>
    <w:rsid w:val="006C7BF0"/>
    <w:rsid w:val="006D0397"/>
    <w:rsid w:val="006D0B70"/>
    <w:rsid w:val="006D418B"/>
    <w:rsid w:val="006D51DA"/>
    <w:rsid w:val="006D6DA7"/>
    <w:rsid w:val="006D7F21"/>
    <w:rsid w:val="006E3614"/>
    <w:rsid w:val="006E78A0"/>
    <w:rsid w:val="006F283D"/>
    <w:rsid w:val="00700141"/>
    <w:rsid w:val="0070757A"/>
    <w:rsid w:val="00712B82"/>
    <w:rsid w:val="00720596"/>
    <w:rsid w:val="00720D88"/>
    <w:rsid w:val="00722F51"/>
    <w:rsid w:val="007257A1"/>
    <w:rsid w:val="007333B7"/>
    <w:rsid w:val="00737A4B"/>
    <w:rsid w:val="00737D75"/>
    <w:rsid w:val="00740138"/>
    <w:rsid w:val="00741447"/>
    <w:rsid w:val="00747D6F"/>
    <w:rsid w:val="00752CF7"/>
    <w:rsid w:val="00753994"/>
    <w:rsid w:val="00754099"/>
    <w:rsid w:val="007546EE"/>
    <w:rsid w:val="00756C70"/>
    <w:rsid w:val="007639AE"/>
    <w:rsid w:val="00767C4D"/>
    <w:rsid w:val="00782D47"/>
    <w:rsid w:val="00783E3A"/>
    <w:rsid w:val="0078636D"/>
    <w:rsid w:val="007A067F"/>
    <w:rsid w:val="007A42C2"/>
    <w:rsid w:val="007A6696"/>
    <w:rsid w:val="007A7DF3"/>
    <w:rsid w:val="007B636C"/>
    <w:rsid w:val="007B6BDD"/>
    <w:rsid w:val="007C0899"/>
    <w:rsid w:val="007C48C1"/>
    <w:rsid w:val="007C5CDC"/>
    <w:rsid w:val="007C6A08"/>
    <w:rsid w:val="007D0B5A"/>
    <w:rsid w:val="007D0CA0"/>
    <w:rsid w:val="007E0AF6"/>
    <w:rsid w:val="007F2A3B"/>
    <w:rsid w:val="007F4366"/>
    <w:rsid w:val="007F47C0"/>
    <w:rsid w:val="007F50DC"/>
    <w:rsid w:val="007F5483"/>
    <w:rsid w:val="008009BB"/>
    <w:rsid w:val="00800D90"/>
    <w:rsid w:val="00805804"/>
    <w:rsid w:val="00806C48"/>
    <w:rsid w:val="00810DA6"/>
    <w:rsid w:val="00815E61"/>
    <w:rsid w:val="0082411F"/>
    <w:rsid w:val="008347F7"/>
    <w:rsid w:val="00841391"/>
    <w:rsid w:val="008414E8"/>
    <w:rsid w:val="00841BFE"/>
    <w:rsid w:val="00843E6B"/>
    <w:rsid w:val="00853F32"/>
    <w:rsid w:val="00854FA4"/>
    <w:rsid w:val="0085599E"/>
    <w:rsid w:val="00856394"/>
    <w:rsid w:val="008636CA"/>
    <w:rsid w:val="00863D38"/>
    <w:rsid w:val="00865174"/>
    <w:rsid w:val="008706EF"/>
    <w:rsid w:val="00870912"/>
    <w:rsid w:val="00875459"/>
    <w:rsid w:val="00875D2F"/>
    <w:rsid w:val="00876230"/>
    <w:rsid w:val="00883C73"/>
    <w:rsid w:val="00890C16"/>
    <w:rsid w:val="00895709"/>
    <w:rsid w:val="008A1C75"/>
    <w:rsid w:val="008B0D3E"/>
    <w:rsid w:val="008B1EFC"/>
    <w:rsid w:val="008B6628"/>
    <w:rsid w:val="008B77EC"/>
    <w:rsid w:val="008C1592"/>
    <w:rsid w:val="008C29A7"/>
    <w:rsid w:val="008C48AA"/>
    <w:rsid w:val="008C7EF4"/>
    <w:rsid w:val="008D2C65"/>
    <w:rsid w:val="008D4F2C"/>
    <w:rsid w:val="008E0189"/>
    <w:rsid w:val="008E1667"/>
    <w:rsid w:val="008E1F82"/>
    <w:rsid w:val="008E585A"/>
    <w:rsid w:val="008E636F"/>
    <w:rsid w:val="008F4D1D"/>
    <w:rsid w:val="00911564"/>
    <w:rsid w:val="00912217"/>
    <w:rsid w:val="0091303A"/>
    <w:rsid w:val="009133CF"/>
    <w:rsid w:val="0091436A"/>
    <w:rsid w:val="00922266"/>
    <w:rsid w:val="00923289"/>
    <w:rsid w:val="00932748"/>
    <w:rsid w:val="00941C4E"/>
    <w:rsid w:val="00945A01"/>
    <w:rsid w:val="00950454"/>
    <w:rsid w:val="009632D2"/>
    <w:rsid w:val="009754AE"/>
    <w:rsid w:val="0098368C"/>
    <w:rsid w:val="00985E8C"/>
    <w:rsid w:val="00986619"/>
    <w:rsid w:val="00992E5F"/>
    <w:rsid w:val="009931D2"/>
    <w:rsid w:val="00994B43"/>
    <w:rsid w:val="009970D6"/>
    <w:rsid w:val="009A06CE"/>
    <w:rsid w:val="009A278C"/>
    <w:rsid w:val="009A3877"/>
    <w:rsid w:val="009B154A"/>
    <w:rsid w:val="009B71B8"/>
    <w:rsid w:val="009C1677"/>
    <w:rsid w:val="009D4200"/>
    <w:rsid w:val="009D43DA"/>
    <w:rsid w:val="009D642B"/>
    <w:rsid w:val="009E253E"/>
    <w:rsid w:val="009E7334"/>
    <w:rsid w:val="009E7D2C"/>
    <w:rsid w:val="009F6794"/>
    <w:rsid w:val="009F7181"/>
    <w:rsid w:val="009F7245"/>
    <w:rsid w:val="00A00448"/>
    <w:rsid w:val="00A019E2"/>
    <w:rsid w:val="00A01A92"/>
    <w:rsid w:val="00A11236"/>
    <w:rsid w:val="00A13473"/>
    <w:rsid w:val="00A15FAB"/>
    <w:rsid w:val="00A16575"/>
    <w:rsid w:val="00A172AD"/>
    <w:rsid w:val="00A20408"/>
    <w:rsid w:val="00A2096F"/>
    <w:rsid w:val="00A2209F"/>
    <w:rsid w:val="00A279F6"/>
    <w:rsid w:val="00A42E99"/>
    <w:rsid w:val="00A50E4D"/>
    <w:rsid w:val="00A62C99"/>
    <w:rsid w:val="00A62DA2"/>
    <w:rsid w:val="00A66365"/>
    <w:rsid w:val="00A66373"/>
    <w:rsid w:val="00A817A0"/>
    <w:rsid w:val="00A87B16"/>
    <w:rsid w:val="00AA459A"/>
    <w:rsid w:val="00AB22EE"/>
    <w:rsid w:val="00AB3A62"/>
    <w:rsid w:val="00AC3174"/>
    <w:rsid w:val="00AC3F8A"/>
    <w:rsid w:val="00AC47CE"/>
    <w:rsid w:val="00AD40E6"/>
    <w:rsid w:val="00AD4DD3"/>
    <w:rsid w:val="00AD743D"/>
    <w:rsid w:val="00AE00CA"/>
    <w:rsid w:val="00AE630F"/>
    <w:rsid w:val="00AF4C23"/>
    <w:rsid w:val="00B03818"/>
    <w:rsid w:val="00B0432A"/>
    <w:rsid w:val="00B0643F"/>
    <w:rsid w:val="00B17BAA"/>
    <w:rsid w:val="00B35B5D"/>
    <w:rsid w:val="00B4735E"/>
    <w:rsid w:val="00B62B48"/>
    <w:rsid w:val="00B63777"/>
    <w:rsid w:val="00B76B0C"/>
    <w:rsid w:val="00B80F82"/>
    <w:rsid w:val="00B83A56"/>
    <w:rsid w:val="00B857D4"/>
    <w:rsid w:val="00B9434A"/>
    <w:rsid w:val="00B96676"/>
    <w:rsid w:val="00BA474F"/>
    <w:rsid w:val="00BA5D3A"/>
    <w:rsid w:val="00BB0466"/>
    <w:rsid w:val="00BB23E9"/>
    <w:rsid w:val="00BB4E81"/>
    <w:rsid w:val="00BD4982"/>
    <w:rsid w:val="00BD4C09"/>
    <w:rsid w:val="00BD54E4"/>
    <w:rsid w:val="00BD7A69"/>
    <w:rsid w:val="00BE0F2C"/>
    <w:rsid w:val="00BE490B"/>
    <w:rsid w:val="00BE5133"/>
    <w:rsid w:val="00BF11A5"/>
    <w:rsid w:val="00C03AB8"/>
    <w:rsid w:val="00C06840"/>
    <w:rsid w:val="00C06E1A"/>
    <w:rsid w:val="00C11F2F"/>
    <w:rsid w:val="00C14C59"/>
    <w:rsid w:val="00C31F2D"/>
    <w:rsid w:val="00C34538"/>
    <w:rsid w:val="00C37197"/>
    <w:rsid w:val="00C37798"/>
    <w:rsid w:val="00C414C3"/>
    <w:rsid w:val="00C45E86"/>
    <w:rsid w:val="00C54B9D"/>
    <w:rsid w:val="00C65372"/>
    <w:rsid w:val="00C660DC"/>
    <w:rsid w:val="00C66471"/>
    <w:rsid w:val="00C6725B"/>
    <w:rsid w:val="00C802AA"/>
    <w:rsid w:val="00C864D7"/>
    <w:rsid w:val="00C90094"/>
    <w:rsid w:val="00C907E2"/>
    <w:rsid w:val="00C90DA8"/>
    <w:rsid w:val="00C90F24"/>
    <w:rsid w:val="00C9324B"/>
    <w:rsid w:val="00CA003B"/>
    <w:rsid w:val="00CA3767"/>
    <w:rsid w:val="00CA3EE9"/>
    <w:rsid w:val="00CA4BF2"/>
    <w:rsid w:val="00CA6E3F"/>
    <w:rsid w:val="00CA6FE0"/>
    <w:rsid w:val="00CB1F55"/>
    <w:rsid w:val="00CC2E90"/>
    <w:rsid w:val="00CC6260"/>
    <w:rsid w:val="00CC6F11"/>
    <w:rsid w:val="00CF0450"/>
    <w:rsid w:val="00CF183C"/>
    <w:rsid w:val="00D003D2"/>
    <w:rsid w:val="00D129D8"/>
    <w:rsid w:val="00D25410"/>
    <w:rsid w:val="00D279EA"/>
    <w:rsid w:val="00D31076"/>
    <w:rsid w:val="00D34E50"/>
    <w:rsid w:val="00D41108"/>
    <w:rsid w:val="00D44B6A"/>
    <w:rsid w:val="00D533C0"/>
    <w:rsid w:val="00D5488F"/>
    <w:rsid w:val="00D55457"/>
    <w:rsid w:val="00D61F4F"/>
    <w:rsid w:val="00D86213"/>
    <w:rsid w:val="00D91014"/>
    <w:rsid w:val="00D96876"/>
    <w:rsid w:val="00DA337A"/>
    <w:rsid w:val="00DB2424"/>
    <w:rsid w:val="00DC1F58"/>
    <w:rsid w:val="00DC4170"/>
    <w:rsid w:val="00DC45F9"/>
    <w:rsid w:val="00DD15D0"/>
    <w:rsid w:val="00DD3CAD"/>
    <w:rsid w:val="00DD4067"/>
    <w:rsid w:val="00DE114B"/>
    <w:rsid w:val="00DE6462"/>
    <w:rsid w:val="00E00DEF"/>
    <w:rsid w:val="00E12A4A"/>
    <w:rsid w:val="00E12A53"/>
    <w:rsid w:val="00E161BE"/>
    <w:rsid w:val="00E170ED"/>
    <w:rsid w:val="00E24874"/>
    <w:rsid w:val="00E279D7"/>
    <w:rsid w:val="00E314EA"/>
    <w:rsid w:val="00E4173F"/>
    <w:rsid w:val="00E47EDA"/>
    <w:rsid w:val="00E505D6"/>
    <w:rsid w:val="00E53975"/>
    <w:rsid w:val="00E55CC1"/>
    <w:rsid w:val="00E634A3"/>
    <w:rsid w:val="00E648E0"/>
    <w:rsid w:val="00E76609"/>
    <w:rsid w:val="00E80E1F"/>
    <w:rsid w:val="00E85151"/>
    <w:rsid w:val="00E8603F"/>
    <w:rsid w:val="00E8770C"/>
    <w:rsid w:val="00E93BA6"/>
    <w:rsid w:val="00E94B5B"/>
    <w:rsid w:val="00E968E8"/>
    <w:rsid w:val="00EA7BC3"/>
    <w:rsid w:val="00EA7C05"/>
    <w:rsid w:val="00EB351A"/>
    <w:rsid w:val="00EC54C3"/>
    <w:rsid w:val="00ED31F1"/>
    <w:rsid w:val="00ED55A9"/>
    <w:rsid w:val="00EE2765"/>
    <w:rsid w:val="00EE3678"/>
    <w:rsid w:val="00EE7CFD"/>
    <w:rsid w:val="00EF06FB"/>
    <w:rsid w:val="00EF133E"/>
    <w:rsid w:val="00EF34F1"/>
    <w:rsid w:val="00EF6C80"/>
    <w:rsid w:val="00EF75DC"/>
    <w:rsid w:val="00F01315"/>
    <w:rsid w:val="00F04FEB"/>
    <w:rsid w:val="00F05EAB"/>
    <w:rsid w:val="00F1069B"/>
    <w:rsid w:val="00F11557"/>
    <w:rsid w:val="00F214F4"/>
    <w:rsid w:val="00F24DBB"/>
    <w:rsid w:val="00F2567C"/>
    <w:rsid w:val="00F410F0"/>
    <w:rsid w:val="00F44990"/>
    <w:rsid w:val="00F46634"/>
    <w:rsid w:val="00F54EFD"/>
    <w:rsid w:val="00F60388"/>
    <w:rsid w:val="00F609E9"/>
    <w:rsid w:val="00F76058"/>
    <w:rsid w:val="00F76D17"/>
    <w:rsid w:val="00F81766"/>
    <w:rsid w:val="00F92CAE"/>
    <w:rsid w:val="00F93982"/>
    <w:rsid w:val="00F9677A"/>
    <w:rsid w:val="00F97BD6"/>
    <w:rsid w:val="00FA1F9D"/>
    <w:rsid w:val="00FA23AB"/>
    <w:rsid w:val="00FB4344"/>
    <w:rsid w:val="00FB4660"/>
    <w:rsid w:val="00FB56FC"/>
    <w:rsid w:val="00FC00B1"/>
    <w:rsid w:val="00FC019C"/>
    <w:rsid w:val="00FC64DD"/>
    <w:rsid w:val="00FD62C7"/>
    <w:rsid w:val="00FE41B6"/>
    <w:rsid w:val="00FE5AFC"/>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4F2B50-9F09-4C50-83F8-A2A8CB14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bg.admin.ch/ebg/de/home/dokumentation/publikationen/publikationen-zu-gleichstellung-im-erwerbsleben/sexuelle-belaestigung-am-arbeitsplatz.html" TargetMode="External"/><Relationship Id="rId7" Type="http://schemas.openxmlformats.org/officeDocument/2006/relationships/hyperlink" Target="https://www.65nopeanuts.ch/rejoignez-nous/" TargetMode="External"/><Relationship Id="rId2" Type="http://schemas.openxmlformats.org/officeDocument/2006/relationships/hyperlink" Target="https://www.seco.admin.ch/dam/seco/de/dokumente/Publikationen_Dienstleistungen/Publikationen_Formulare/Arbeit/Arbeitsbedingungen/studien_berichte/Zusammenfassung%20der%20Studie.pdf.download.pdf/Zusammenfassung%20der%20Studie.pdf" TargetMode="External"/><Relationship Id="rId1" Type="http://schemas.openxmlformats.org/officeDocument/2006/relationships/hyperlink" Target="https://metoomvmt.org/" TargetMode="External"/><Relationship Id="rId6" Type="http://schemas.openxmlformats.org/officeDocument/2006/relationships/hyperlink" Target="http://www.65nopeanuts.ch" TargetMode="External"/><Relationship Id="rId5" Type="http://schemas.openxmlformats.org/officeDocument/2006/relationships/hyperlink" Target="http://www.travailsuisse.ch/aktuell/positionen?lang=de&amp;which_abo=" TargetMode="External"/><Relationship Id="rId4" Type="http://schemas.openxmlformats.org/officeDocument/2006/relationships/hyperlink" Target="https://www.seco.admin.ch/seco/de/home/Arbeit/Personenfreizugigkeit_Arbeitsbeziehungen/Arbeitsrecht/FAQ_zum_privaten_Arbeitsrecht/sexuelle-belaestigung-am-arbeitsplatz-und-mobb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67DDA-F4F9-4DEE-870A-0B4BEF02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8250</Characters>
  <Application>Microsoft Office Word</Application>
  <DocSecurity>0</DocSecurity>
  <Lines>68</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9502</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creator>-</dc:creator>
  <cp:lastModifiedBy>Linda Rosenkranz</cp:lastModifiedBy>
  <cp:revision>3</cp:revision>
  <cp:lastPrinted>2018-02-06T13:01:00Z</cp:lastPrinted>
  <dcterms:created xsi:type="dcterms:W3CDTF">2018-07-03T09:26:00Z</dcterms:created>
  <dcterms:modified xsi:type="dcterms:W3CDTF">2018-07-03T09:47:00Z</dcterms:modified>
</cp:coreProperties>
</file>