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3F" w:rsidRDefault="0035221B" w:rsidP="008731E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bookmarkStart w:id="0" w:name="_GoBack"/>
      <w:bookmarkEnd w:id="0"/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3F7EF3C4" wp14:editId="045A757B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23F" w:rsidRDefault="000E723F" w:rsidP="008731E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E723F" w:rsidRDefault="000E723F" w:rsidP="008731E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E723F" w:rsidRDefault="000E723F" w:rsidP="008731E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E723F" w:rsidRDefault="000E723F" w:rsidP="008731E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35221B" w:rsidRDefault="0035221B" w:rsidP="008731E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E723F" w:rsidRDefault="000E723F" w:rsidP="008731E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Berne, le 10 avril 2018</w:t>
      </w:r>
    </w:p>
    <w:p w:rsidR="000E723F" w:rsidRDefault="000E723F" w:rsidP="008731E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8731E8" w:rsidRPr="00BD76B9" w:rsidRDefault="008731E8" w:rsidP="008731E8">
      <w:pPr>
        <w:spacing w:after="0" w:line="300" w:lineRule="exact"/>
        <w:rPr>
          <w:rFonts w:ascii="Arial" w:hAnsi="Arial" w:cs="Arial"/>
          <w:b/>
          <w:sz w:val="24"/>
          <w:szCs w:val="24"/>
          <w:lang w:val="fr-CH"/>
        </w:rPr>
      </w:pPr>
      <w:r w:rsidRPr="00BD76B9">
        <w:rPr>
          <w:rFonts w:ascii="Arial" w:hAnsi="Arial" w:cs="Arial"/>
          <w:b/>
          <w:sz w:val="24"/>
          <w:szCs w:val="24"/>
          <w:lang w:val="fr-CH"/>
        </w:rPr>
        <w:t>Axa c</w:t>
      </w:r>
      <w:r w:rsidR="000E723F" w:rsidRPr="00BD76B9">
        <w:rPr>
          <w:rFonts w:ascii="Arial" w:hAnsi="Arial" w:cs="Arial"/>
          <w:b/>
          <w:sz w:val="24"/>
          <w:szCs w:val="24"/>
          <w:lang w:val="fr-CH"/>
        </w:rPr>
        <w:t>onfirme un mauvais rapport coûts-</w:t>
      </w:r>
      <w:r w:rsidR="00BD76B9" w:rsidRPr="00BD76B9">
        <w:rPr>
          <w:rFonts w:ascii="Arial" w:hAnsi="Arial" w:cs="Arial"/>
          <w:b/>
          <w:sz w:val="24"/>
          <w:szCs w:val="24"/>
          <w:lang w:val="fr-CH"/>
        </w:rPr>
        <w:t>prestation</w:t>
      </w:r>
      <w:r w:rsidRPr="00BD76B9">
        <w:rPr>
          <w:rFonts w:ascii="Arial" w:hAnsi="Arial" w:cs="Arial"/>
          <w:b/>
          <w:sz w:val="24"/>
          <w:szCs w:val="24"/>
          <w:lang w:val="fr-CH"/>
        </w:rPr>
        <w:t xml:space="preserve"> de l’assurance</w:t>
      </w:r>
      <w:r w:rsidR="000E723F" w:rsidRPr="00BD76B9">
        <w:rPr>
          <w:rFonts w:ascii="Arial" w:hAnsi="Arial" w:cs="Arial"/>
          <w:b/>
          <w:sz w:val="24"/>
          <w:szCs w:val="24"/>
          <w:lang w:val="fr-CH"/>
        </w:rPr>
        <w:t xml:space="preserve"> complète</w:t>
      </w:r>
    </w:p>
    <w:p w:rsidR="008731E8" w:rsidRDefault="008731E8" w:rsidP="008731E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0E723F" w:rsidRPr="000E723F" w:rsidRDefault="000E723F" w:rsidP="008731E8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0E723F">
        <w:rPr>
          <w:rFonts w:ascii="Arial" w:hAnsi="Arial" w:cs="Arial"/>
          <w:b/>
          <w:sz w:val="20"/>
          <w:szCs w:val="20"/>
          <w:lang w:val="fr-CH"/>
        </w:rPr>
        <w:t>Travail.Suisse, l’organisation faîtière  indépendante des travailleurs et travailleuses</w:t>
      </w:r>
      <w:r w:rsidR="00BD76B9">
        <w:rPr>
          <w:rFonts w:ascii="Arial" w:hAnsi="Arial" w:cs="Arial"/>
          <w:b/>
          <w:sz w:val="20"/>
          <w:szCs w:val="20"/>
          <w:lang w:val="fr-CH"/>
        </w:rPr>
        <w:t>,</w:t>
      </w:r>
      <w:r w:rsidRPr="000E723F">
        <w:rPr>
          <w:rFonts w:ascii="Arial" w:hAnsi="Arial" w:cs="Arial"/>
          <w:b/>
          <w:sz w:val="20"/>
          <w:szCs w:val="20"/>
          <w:lang w:val="fr-CH"/>
        </w:rPr>
        <w:t xml:space="preserve"> prend connaissance du retrait d’</w:t>
      </w:r>
      <w:r w:rsidR="00BD76B9">
        <w:rPr>
          <w:rFonts w:ascii="Arial" w:hAnsi="Arial" w:cs="Arial"/>
          <w:b/>
          <w:sz w:val="20"/>
          <w:szCs w:val="20"/>
          <w:lang w:val="fr-CH"/>
        </w:rPr>
        <w:t>Axa du marché de</w:t>
      </w:r>
      <w:r w:rsidRPr="000E723F">
        <w:rPr>
          <w:rFonts w:ascii="Arial" w:hAnsi="Arial" w:cs="Arial"/>
          <w:b/>
          <w:sz w:val="20"/>
          <w:szCs w:val="20"/>
          <w:lang w:val="fr-CH"/>
        </w:rPr>
        <w:t xml:space="preserve"> l’assurance complète LPP. Visiblement, Axa espère faire encore plus de bénéfices avec des solutions semi-autonomes. </w:t>
      </w:r>
    </w:p>
    <w:p w:rsidR="000E723F" w:rsidRDefault="000E723F" w:rsidP="008731E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BD76B9" w:rsidRDefault="008731E8" w:rsidP="008731E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Avec l</w:t>
      </w:r>
      <w:r w:rsidR="00BD76B9">
        <w:rPr>
          <w:rFonts w:ascii="Arial" w:hAnsi="Arial" w:cs="Arial"/>
          <w:sz w:val="20"/>
          <w:szCs w:val="20"/>
          <w:lang w:val="fr-CH"/>
        </w:rPr>
        <w:t>e retrait annoncé</w:t>
      </w:r>
      <w:r w:rsidR="00B22CE1">
        <w:rPr>
          <w:rFonts w:ascii="Arial" w:hAnsi="Arial" w:cs="Arial"/>
          <w:sz w:val="20"/>
          <w:szCs w:val="20"/>
          <w:lang w:val="fr-CH"/>
        </w:rPr>
        <w:t xml:space="preserve"> aujourd’hui</w:t>
      </w:r>
      <w:r w:rsidR="00BD76B9">
        <w:rPr>
          <w:rFonts w:ascii="Arial" w:hAnsi="Arial" w:cs="Arial"/>
          <w:sz w:val="20"/>
          <w:szCs w:val="20"/>
          <w:lang w:val="fr-CH"/>
        </w:rPr>
        <w:t xml:space="preserve"> du domaine de</w:t>
      </w:r>
      <w:r w:rsidR="00B22CE1">
        <w:rPr>
          <w:rFonts w:ascii="Arial" w:hAnsi="Arial" w:cs="Arial"/>
          <w:sz w:val="20"/>
          <w:szCs w:val="20"/>
          <w:lang w:val="fr-CH"/>
        </w:rPr>
        <w:t xml:space="preserve"> </w:t>
      </w:r>
      <w:r w:rsidR="00BD76B9">
        <w:rPr>
          <w:rFonts w:ascii="Arial" w:hAnsi="Arial" w:cs="Arial"/>
          <w:sz w:val="20"/>
          <w:szCs w:val="20"/>
          <w:lang w:val="fr-CH"/>
        </w:rPr>
        <w:t>l’</w:t>
      </w:r>
      <w:r w:rsidR="00B22CE1">
        <w:rPr>
          <w:rFonts w:ascii="Arial" w:hAnsi="Arial" w:cs="Arial"/>
          <w:sz w:val="20"/>
          <w:szCs w:val="20"/>
          <w:lang w:val="fr-CH"/>
        </w:rPr>
        <w:t>assurance complète</w:t>
      </w:r>
      <w:r w:rsidR="00BD76B9">
        <w:rPr>
          <w:rFonts w:ascii="Arial" w:hAnsi="Arial" w:cs="Arial"/>
          <w:sz w:val="20"/>
          <w:szCs w:val="20"/>
          <w:lang w:val="fr-CH"/>
        </w:rPr>
        <w:t xml:space="preserve"> LPP</w:t>
      </w:r>
      <w:r w:rsidR="00B22CE1">
        <w:rPr>
          <w:rFonts w:ascii="Arial" w:hAnsi="Arial" w:cs="Arial"/>
          <w:sz w:val="20"/>
          <w:szCs w:val="20"/>
          <w:lang w:val="fr-CH"/>
        </w:rPr>
        <w:t>,  Axa confirme que l’assurance complète</w:t>
      </w:r>
      <w:r>
        <w:rPr>
          <w:rFonts w:ascii="Arial" w:hAnsi="Arial" w:cs="Arial"/>
          <w:sz w:val="20"/>
          <w:szCs w:val="20"/>
          <w:lang w:val="fr-CH"/>
        </w:rPr>
        <w:t xml:space="preserve"> n’est pas attractive pour les</w:t>
      </w:r>
      <w:r w:rsidR="00B22CE1">
        <w:rPr>
          <w:rFonts w:ascii="Arial" w:hAnsi="Arial" w:cs="Arial"/>
          <w:sz w:val="20"/>
          <w:szCs w:val="20"/>
          <w:lang w:val="fr-CH"/>
        </w:rPr>
        <w:t xml:space="preserve"> travailleuses et travailleurs</w:t>
      </w:r>
      <w:r>
        <w:rPr>
          <w:rFonts w:ascii="Arial" w:hAnsi="Arial" w:cs="Arial"/>
          <w:sz w:val="20"/>
          <w:szCs w:val="20"/>
          <w:lang w:val="fr-CH"/>
        </w:rPr>
        <w:t xml:space="preserve"> assurés.  Le</w:t>
      </w:r>
      <w:r w:rsidR="00A17926">
        <w:rPr>
          <w:rFonts w:ascii="Arial" w:hAnsi="Arial" w:cs="Arial"/>
          <w:sz w:val="20"/>
          <w:szCs w:val="20"/>
          <w:lang w:val="fr-CH"/>
        </w:rPr>
        <w:t xml:space="preserve"> chant de louanges</w:t>
      </w:r>
      <w:r>
        <w:rPr>
          <w:rFonts w:ascii="Arial" w:hAnsi="Arial" w:cs="Arial"/>
          <w:sz w:val="20"/>
          <w:szCs w:val="20"/>
          <w:lang w:val="fr-CH"/>
        </w:rPr>
        <w:t xml:space="preserve"> des</w:t>
      </w:r>
      <w:r w:rsidR="00A17926">
        <w:rPr>
          <w:rFonts w:ascii="Arial" w:hAnsi="Arial" w:cs="Arial"/>
          <w:sz w:val="20"/>
          <w:szCs w:val="20"/>
          <w:lang w:val="fr-CH"/>
        </w:rPr>
        <w:t xml:space="preserve"> assureurs de la fiabilité de l’assurance complète</w:t>
      </w:r>
      <w:r>
        <w:rPr>
          <w:rFonts w:ascii="Arial" w:hAnsi="Arial" w:cs="Arial"/>
          <w:sz w:val="20"/>
          <w:szCs w:val="20"/>
          <w:lang w:val="fr-CH"/>
        </w:rPr>
        <w:t xml:space="preserve"> comme</w:t>
      </w:r>
      <w:r w:rsidR="00BD76B9">
        <w:rPr>
          <w:rFonts w:ascii="Arial" w:hAnsi="Arial" w:cs="Arial"/>
          <w:sz w:val="20"/>
          <w:szCs w:val="20"/>
          <w:lang w:val="fr-CH"/>
        </w:rPr>
        <w:t xml:space="preserve"> la</w:t>
      </w:r>
      <w:r>
        <w:rPr>
          <w:rFonts w:ascii="Arial" w:hAnsi="Arial" w:cs="Arial"/>
          <w:sz w:val="20"/>
          <w:szCs w:val="20"/>
          <w:lang w:val="fr-CH"/>
        </w:rPr>
        <w:t xml:space="preserve"> seule solution pour les PME n’est semble-t-il plus valable  Axa espère ainsi</w:t>
      </w:r>
      <w:r w:rsidR="00BD76B9">
        <w:rPr>
          <w:rFonts w:ascii="Arial" w:hAnsi="Arial" w:cs="Arial"/>
          <w:sz w:val="20"/>
          <w:szCs w:val="20"/>
          <w:lang w:val="fr-CH"/>
        </w:rPr>
        <w:t xml:space="preserve"> faire</w:t>
      </w:r>
      <w:r>
        <w:rPr>
          <w:rFonts w:ascii="Arial" w:hAnsi="Arial" w:cs="Arial"/>
          <w:sz w:val="20"/>
          <w:szCs w:val="20"/>
          <w:lang w:val="fr-CH"/>
        </w:rPr>
        <w:t xml:space="preserve"> encore plus de bénéfices avec des solut</w:t>
      </w:r>
      <w:r w:rsidR="00A17926">
        <w:rPr>
          <w:rFonts w:ascii="Arial" w:hAnsi="Arial" w:cs="Arial"/>
          <w:sz w:val="20"/>
          <w:szCs w:val="20"/>
          <w:lang w:val="fr-CH"/>
        </w:rPr>
        <w:t>ions semi-</w:t>
      </w:r>
      <w:r>
        <w:rPr>
          <w:rFonts w:ascii="Arial" w:hAnsi="Arial" w:cs="Arial"/>
          <w:sz w:val="20"/>
          <w:szCs w:val="20"/>
          <w:lang w:val="fr-CH"/>
        </w:rPr>
        <w:t xml:space="preserve"> autonomes.</w:t>
      </w:r>
      <w:r w:rsidR="00EA2198">
        <w:rPr>
          <w:rFonts w:ascii="Arial" w:hAnsi="Arial" w:cs="Arial"/>
          <w:sz w:val="20"/>
          <w:szCs w:val="20"/>
          <w:lang w:val="fr-CH"/>
        </w:rPr>
        <w:t xml:space="preserve"> D’une manière ou d’une autre, l</w:t>
      </w:r>
      <w:r>
        <w:rPr>
          <w:rFonts w:ascii="Arial" w:hAnsi="Arial" w:cs="Arial"/>
          <w:sz w:val="20"/>
          <w:szCs w:val="20"/>
          <w:lang w:val="fr-CH"/>
        </w:rPr>
        <w:t>es bénéfices élevés restent problématiques dans une assurance sociale.  Pour les PME, il y a suffisamment d’alternatives</w:t>
      </w:r>
      <w:r w:rsidR="00BD76B9">
        <w:rPr>
          <w:rFonts w:ascii="Arial" w:hAnsi="Arial" w:cs="Arial"/>
          <w:sz w:val="20"/>
          <w:szCs w:val="20"/>
          <w:lang w:val="fr-CH"/>
        </w:rPr>
        <w:t xml:space="preserve"> fiables</w:t>
      </w:r>
      <w:r>
        <w:rPr>
          <w:rFonts w:ascii="Arial" w:hAnsi="Arial" w:cs="Arial"/>
          <w:sz w:val="20"/>
          <w:szCs w:val="20"/>
          <w:lang w:val="fr-CH"/>
        </w:rPr>
        <w:t xml:space="preserve"> auprès de fondations collectives indépendantes qui n’</w:t>
      </w:r>
      <w:r w:rsidR="00BD76B9">
        <w:rPr>
          <w:rFonts w:ascii="Arial" w:hAnsi="Arial" w:cs="Arial"/>
          <w:sz w:val="20"/>
          <w:szCs w:val="20"/>
          <w:lang w:val="fr-CH"/>
        </w:rPr>
        <w:t xml:space="preserve">ont pas </w:t>
      </w:r>
      <w:r>
        <w:rPr>
          <w:rFonts w:ascii="Arial" w:hAnsi="Arial" w:cs="Arial"/>
          <w:sz w:val="20"/>
          <w:szCs w:val="20"/>
          <w:lang w:val="fr-CH"/>
        </w:rPr>
        <w:t>comme but</w:t>
      </w:r>
      <w:r w:rsidR="00EA2198">
        <w:rPr>
          <w:rFonts w:ascii="Arial" w:hAnsi="Arial" w:cs="Arial"/>
          <w:sz w:val="20"/>
          <w:szCs w:val="20"/>
          <w:lang w:val="fr-CH"/>
        </w:rPr>
        <w:t xml:space="preserve"> premier</w:t>
      </w:r>
      <w:r w:rsidR="00BD76B9">
        <w:rPr>
          <w:rFonts w:ascii="Arial" w:hAnsi="Arial" w:cs="Arial"/>
          <w:sz w:val="20"/>
          <w:szCs w:val="20"/>
          <w:lang w:val="fr-CH"/>
        </w:rPr>
        <w:t xml:space="preserve"> le profit</w:t>
      </w:r>
      <w:r>
        <w:rPr>
          <w:rFonts w:ascii="Arial" w:hAnsi="Arial" w:cs="Arial"/>
          <w:sz w:val="20"/>
          <w:szCs w:val="20"/>
          <w:lang w:val="fr-CH"/>
        </w:rPr>
        <w:t xml:space="preserve">.  </w:t>
      </w:r>
    </w:p>
    <w:p w:rsidR="00BD76B9" w:rsidRDefault="00BD76B9" w:rsidP="008731E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8731E8" w:rsidRDefault="008731E8" w:rsidP="008731E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Travail.Suisse continuera à s’engager pour que l’on réduise les bénéfices des prestataires privés dans la prévoyance professionnelle.  Cela vaut aussi po</w:t>
      </w:r>
      <w:r w:rsidR="00BD76B9">
        <w:rPr>
          <w:rFonts w:ascii="Arial" w:hAnsi="Arial" w:cs="Arial"/>
          <w:sz w:val="20"/>
          <w:szCs w:val="20"/>
          <w:lang w:val="fr-CH"/>
        </w:rPr>
        <w:t>ur l</w:t>
      </w:r>
      <w:r w:rsidR="00EA2198">
        <w:rPr>
          <w:rFonts w:ascii="Arial" w:hAnsi="Arial" w:cs="Arial"/>
          <w:sz w:val="20"/>
          <w:szCs w:val="20"/>
          <w:lang w:val="fr-CH"/>
        </w:rPr>
        <w:t>es solutions semi-a</w:t>
      </w:r>
      <w:r>
        <w:rPr>
          <w:rFonts w:ascii="Arial" w:hAnsi="Arial" w:cs="Arial"/>
          <w:sz w:val="20"/>
          <w:szCs w:val="20"/>
          <w:lang w:val="fr-CH"/>
        </w:rPr>
        <w:t>utonomes d’Axa. Car les bénéfices réduisent les moyens devant être à disposition des rentes.</w:t>
      </w:r>
    </w:p>
    <w:p w:rsidR="00531FFB" w:rsidRDefault="00531FFB" w:rsidP="008731E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531FFB" w:rsidRDefault="00531FFB" w:rsidP="008731E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531FFB">
        <w:rPr>
          <w:rFonts w:ascii="Arial" w:hAnsi="Arial" w:cs="Arial"/>
          <w:sz w:val="20"/>
          <w:szCs w:val="20"/>
          <w:u w:val="single"/>
          <w:lang w:val="fr-CH"/>
        </w:rPr>
        <w:t>Pour d’autres renseignements</w:t>
      </w:r>
      <w:r>
        <w:rPr>
          <w:rFonts w:ascii="Arial" w:hAnsi="Arial" w:cs="Arial"/>
          <w:sz w:val="20"/>
          <w:szCs w:val="20"/>
          <w:lang w:val="fr-CH"/>
        </w:rPr>
        <w:t> :</w:t>
      </w:r>
    </w:p>
    <w:p w:rsidR="00531FFB" w:rsidRPr="008731E8" w:rsidRDefault="00531FFB" w:rsidP="008731E8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Matthias Kuert Killer, responsable du dossier politique sociale, Tél. 079 777 243 69</w:t>
      </w:r>
    </w:p>
    <w:sectPr w:rsidR="00531FFB" w:rsidRPr="00873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E8"/>
    <w:rsid w:val="00052211"/>
    <w:rsid w:val="000E723F"/>
    <w:rsid w:val="0035221B"/>
    <w:rsid w:val="00531FFB"/>
    <w:rsid w:val="008731E8"/>
    <w:rsid w:val="00A17926"/>
    <w:rsid w:val="00B22CE1"/>
    <w:rsid w:val="00BD76B9"/>
    <w:rsid w:val="00D13B19"/>
    <w:rsid w:val="00DF4950"/>
    <w:rsid w:val="00EA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4D03DF-4450-431B-BD25-6398AE09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Therese Schmid</cp:lastModifiedBy>
  <cp:revision>2</cp:revision>
  <dcterms:created xsi:type="dcterms:W3CDTF">2018-04-10T09:37:00Z</dcterms:created>
  <dcterms:modified xsi:type="dcterms:W3CDTF">2018-04-10T09:37:00Z</dcterms:modified>
</cp:coreProperties>
</file>