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92" w:rsidRPr="00343AA4" w:rsidRDefault="00343AA4" w:rsidP="00584E92">
      <w:pPr>
        <w:spacing w:after="0" w:line="300" w:lineRule="exact"/>
        <w:rPr>
          <w:rFonts w:ascii="Arial" w:hAnsi="Arial" w:cs="Arial"/>
          <w:sz w:val="20"/>
          <w:szCs w:val="20"/>
          <w:lang w:val="fr-CH"/>
        </w:rPr>
      </w:pPr>
      <w:r w:rsidRPr="00343AA4">
        <w:rPr>
          <w:rFonts w:ascii="Arial" w:hAnsi="Arial" w:cs="Arial"/>
          <w:sz w:val="20"/>
          <w:szCs w:val="20"/>
          <w:lang w:val="fr-CH"/>
        </w:rPr>
        <w:t>Service médias – parution du  8 m</w:t>
      </w:r>
      <w:r w:rsidR="00584E92" w:rsidRPr="00343AA4">
        <w:rPr>
          <w:rFonts w:ascii="Arial" w:hAnsi="Arial" w:cs="Arial"/>
          <w:sz w:val="20"/>
          <w:szCs w:val="20"/>
          <w:lang w:val="fr-CH"/>
        </w:rPr>
        <w:t>ai 2017</w:t>
      </w:r>
    </w:p>
    <w:p w:rsidR="00584E92" w:rsidRPr="00343AA4" w:rsidRDefault="00584E92" w:rsidP="00584E92">
      <w:pPr>
        <w:spacing w:after="0" w:line="300" w:lineRule="exact"/>
        <w:rPr>
          <w:rFonts w:ascii="Arial" w:hAnsi="Arial" w:cs="Arial"/>
          <w:b/>
          <w:sz w:val="20"/>
          <w:szCs w:val="20"/>
          <w:lang w:val="fr-CH"/>
        </w:rPr>
      </w:pPr>
    </w:p>
    <w:p w:rsidR="00584E92" w:rsidRPr="00343AA4" w:rsidRDefault="00584E92" w:rsidP="00584E92">
      <w:pPr>
        <w:spacing w:after="0" w:line="300" w:lineRule="exact"/>
        <w:rPr>
          <w:rFonts w:ascii="Arial" w:hAnsi="Arial" w:cs="Arial"/>
          <w:b/>
          <w:sz w:val="20"/>
          <w:szCs w:val="20"/>
          <w:lang w:val="fr-CH"/>
        </w:rPr>
      </w:pPr>
    </w:p>
    <w:p w:rsidR="00584E92" w:rsidRPr="00343AA4" w:rsidRDefault="00584E92" w:rsidP="00584E92">
      <w:pPr>
        <w:spacing w:after="0" w:line="300" w:lineRule="exact"/>
        <w:rPr>
          <w:rFonts w:ascii="Arial" w:hAnsi="Arial" w:cs="Arial"/>
          <w:b/>
          <w:sz w:val="20"/>
          <w:szCs w:val="20"/>
          <w:lang w:val="fr-CH"/>
        </w:rPr>
      </w:pPr>
    </w:p>
    <w:p w:rsidR="00584E92" w:rsidRPr="00343AA4" w:rsidRDefault="00584E92" w:rsidP="00584E92">
      <w:pPr>
        <w:spacing w:after="0" w:line="300" w:lineRule="exact"/>
        <w:rPr>
          <w:rFonts w:ascii="Arial" w:hAnsi="Arial" w:cs="Arial"/>
          <w:b/>
          <w:sz w:val="20"/>
          <w:szCs w:val="20"/>
          <w:lang w:val="fr-CH"/>
        </w:rPr>
      </w:pPr>
    </w:p>
    <w:p w:rsidR="00584E92" w:rsidRPr="00343AA4" w:rsidRDefault="00584E92" w:rsidP="00584E92">
      <w:pPr>
        <w:spacing w:after="0" w:line="300" w:lineRule="exact"/>
        <w:rPr>
          <w:rFonts w:ascii="Arial" w:hAnsi="Arial" w:cs="Arial"/>
          <w:b/>
          <w:sz w:val="20"/>
          <w:szCs w:val="20"/>
          <w:lang w:val="fr-CH"/>
        </w:rPr>
      </w:pPr>
    </w:p>
    <w:p w:rsidR="002F458F" w:rsidRPr="00343AA4" w:rsidRDefault="00343AA4" w:rsidP="00584E92">
      <w:pPr>
        <w:spacing w:after="0" w:line="300" w:lineRule="exact"/>
        <w:rPr>
          <w:rFonts w:ascii="Arial" w:hAnsi="Arial" w:cs="Arial"/>
          <w:b/>
          <w:sz w:val="30"/>
          <w:szCs w:val="30"/>
          <w:lang w:val="fr-CH"/>
        </w:rPr>
      </w:pPr>
      <w:r>
        <w:rPr>
          <w:rFonts w:ascii="Arial" w:hAnsi="Arial" w:cs="Arial"/>
          <w:b/>
          <w:sz w:val="30"/>
          <w:szCs w:val="30"/>
          <w:lang w:val="fr-CH"/>
        </w:rPr>
        <w:t>Les femmes dans des fonctions</w:t>
      </w:r>
      <w:r w:rsidRPr="00343AA4">
        <w:rPr>
          <w:rFonts w:ascii="Arial" w:hAnsi="Arial" w:cs="Arial"/>
          <w:b/>
          <w:sz w:val="30"/>
          <w:szCs w:val="30"/>
          <w:lang w:val="fr-CH"/>
        </w:rPr>
        <w:t xml:space="preserve"> de direction</w:t>
      </w:r>
      <w:r w:rsidR="00070C12" w:rsidRPr="00343AA4">
        <w:rPr>
          <w:rFonts w:ascii="Arial" w:hAnsi="Arial" w:cs="Arial"/>
          <w:b/>
          <w:sz w:val="30"/>
          <w:szCs w:val="30"/>
          <w:lang w:val="fr-CH"/>
        </w:rPr>
        <w:t xml:space="preserve"> </w:t>
      </w:r>
      <w:r>
        <w:rPr>
          <w:rFonts w:ascii="Arial" w:hAnsi="Arial" w:cs="Arial"/>
          <w:b/>
          <w:sz w:val="30"/>
          <w:szCs w:val="30"/>
          <w:lang w:val="fr-CH"/>
        </w:rPr>
        <w:t>– progrès à bas niveau</w:t>
      </w:r>
    </w:p>
    <w:p w:rsidR="009E12C1" w:rsidRPr="00343AA4" w:rsidRDefault="009E12C1" w:rsidP="00584E92">
      <w:pPr>
        <w:spacing w:after="0" w:line="300" w:lineRule="exact"/>
        <w:rPr>
          <w:rFonts w:ascii="Arial" w:hAnsi="Arial" w:cs="Arial"/>
          <w:b/>
          <w:sz w:val="20"/>
          <w:szCs w:val="20"/>
          <w:lang w:val="fr-CH"/>
        </w:rPr>
      </w:pPr>
    </w:p>
    <w:p w:rsidR="0079347F" w:rsidRDefault="00343AA4" w:rsidP="00584E92">
      <w:pPr>
        <w:spacing w:after="0" w:line="300" w:lineRule="exact"/>
        <w:rPr>
          <w:rFonts w:ascii="Arial" w:hAnsi="Arial" w:cs="Arial"/>
          <w:b/>
          <w:sz w:val="20"/>
          <w:szCs w:val="20"/>
          <w:lang w:val="fr-CH"/>
        </w:rPr>
      </w:pPr>
      <w:r w:rsidRPr="0079347F">
        <w:rPr>
          <w:rFonts w:ascii="Arial" w:hAnsi="Arial" w:cs="Arial"/>
          <w:b/>
          <w:sz w:val="20"/>
          <w:szCs w:val="20"/>
          <w:lang w:val="fr-CH"/>
        </w:rPr>
        <w:t>Dans le cadre</w:t>
      </w:r>
      <w:r w:rsidR="00277001" w:rsidRPr="0079347F">
        <w:rPr>
          <w:rFonts w:ascii="Arial" w:hAnsi="Arial" w:cs="Arial"/>
          <w:b/>
          <w:sz w:val="20"/>
          <w:szCs w:val="20"/>
          <w:lang w:val="fr-CH"/>
        </w:rPr>
        <w:t xml:space="preserve"> </w:t>
      </w:r>
      <w:r w:rsidR="0079347F" w:rsidRPr="0079347F">
        <w:rPr>
          <w:rFonts w:ascii="Arial" w:hAnsi="Arial" w:cs="Arial"/>
          <w:b/>
          <w:sz w:val="20"/>
          <w:szCs w:val="20"/>
          <w:lang w:val="fr-CH"/>
        </w:rPr>
        <w:t xml:space="preserve"> de l’étude menée chaque année sur les salaires des managers, Travail.Suisse, l’organisation fa</w:t>
      </w:r>
      <w:r w:rsidR="0079347F">
        <w:rPr>
          <w:rFonts w:ascii="Arial" w:hAnsi="Arial" w:cs="Arial"/>
          <w:b/>
          <w:sz w:val="20"/>
          <w:szCs w:val="20"/>
          <w:lang w:val="fr-CH"/>
        </w:rPr>
        <w:t>îtière indépendante des travailleurs et travailleuses, examine aussi la proportion de femmes dans les conseils d’administration et les directions d’entreprises suisses. Les chiffres de l’étude montrent que la représentation des femmes dans les directions d’entreprises continue à stagner à très bas niveau. Par contre, dans les conseils d’administration, la part des femmes suit une évolution positive à première vue.  Mais en comparaison avec d’autres pays européens de l’ouest, la Suisse occupe l’une des dernières places.  Cela montre une fois de plus que la discussion sur la réglementation des quotas est urgente.</w:t>
      </w:r>
    </w:p>
    <w:p w:rsidR="00584E92" w:rsidRPr="0079347F" w:rsidRDefault="0079347F" w:rsidP="00584E92">
      <w:pPr>
        <w:spacing w:after="0" w:line="300" w:lineRule="exact"/>
        <w:rPr>
          <w:rFonts w:ascii="Arial" w:hAnsi="Arial" w:cs="Arial"/>
          <w:b/>
          <w:sz w:val="20"/>
          <w:szCs w:val="20"/>
          <w:lang w:val="fr-CH"/>
        </w:rPr>
      </w:pPr>
      <w:r>
        <w:rPr>
          <w:rFonts w:ascii="Arial" w:hAnsi="Arial" w:cs="Arial"/>
          <w:b/>
          <w:sz w:val="20"/>
          <w:szCs w:val="20"/>
          <w:lang w:val="fr-CH"/>
        </w:rPr>
        <w:t xml:space="preserve"> </w:t>
      </w:r>
    </w:p>
    <w:p w:rsidR="00584E92" w:rsidRPr="00343AA4" w:rsidRDefault="00584E92" w:rsidP="00584E92">
      <w:pPr>
        <w:spacing w:after="0" w:line="300" w:lineRule="exact"/>
        <w:rPr>
          <w:rFonts w:ascii="Arial" w:hAnsi="Arial" w:cs="Arial"/>
          <w:i/>
          <w:sz w:val="20"/>
          <w:szCs w:val="20"/>
          <w:lang w:val="fr-CH"/>
        </w:rPr>
      </w:pPr>
      <w:r w:rsidRPr="00343AA4">
        <w:rPr>
          <w:rFonts w:ascii="Arial" w:hAnsi="Arial" w:cs="Arial"/>
          <w:i/>
          <w:sz w:val="20"/>
          <w:szCs w:val="20"/>
          <w:lang w:val="fr-CH"/>
        </w:rPr>
        <w:t xml:space="preserve">Miriam </w:t>
      </w:r>
      <w:r w:rsidR="00BE0FEC">
        <w:rPr>
          <w:rFonts w:ascii="Arial" w:hAnsi="Arial" w:cs="Arial"/>
          <w:i/>
          <w:sz w:val="20"/>
          <w:szCs w:val="20"/>
          <w:lang w:val="fr-CH"/>
        </w:rPr>
        <w:t>Hofstetter, collaboratrice du</w:t>
      </w:r>
      <w:r w:rsidR="00343AA4" w:rsidRPr="00343AA4">
        <w:rPr>
          <w:rFonts w:ascii="Arial" w:hAnsi="Arial" w:cs="Arial"/>
          <w:i/>
          <w:sz w:val="20"/>
          <w:szCs w:val="20"/>
          <w:lang w:val="fr-CH"/>
        </w:rPr>
        <w:t xml:space="preserve"> projet salaires des managers</w:t>
      </w:r>
    </w:p>
    <w:p w:rsidR="00584E92" w:rsidRPr="00343AA4" w:rsidRDefault="00584E92" w:rsidP="00584E92">
      <w:pPr>
        <w:spacing w:after="0" w:line="300" w:lineRule="exact"/>
        <w:rPr>
          <w:rFonts w:ascii="Arial" w:hAnsi="Arial" w:cs="Arial"/>
          <w:b/>
          <w:sz w:val="20"/>
          <w:szCs w:val="20"/>
          <w:lang w:val="fr-CH"/>
        </w:rPr>
      </w:pPr>
    </w:p>
    <w:p w:rsidR="009658C9" w:rsidRDefault="0079347F" w:rsidP="00584E92">
      <w:pPr>
        <w:spacing w:after="0" w:line="300" w:lineRule="exact"/>
        <w:rPr>
          <w:rFonts w:ascii="Arial" w:hAnsi="Arial" w:cs="Arial"/>
          <w:sz w:val="20"/>
          <w:szCs w:val="20"/>
          <w:lang w:val="fr-CH"/>
        </w:rPr>
      </w:pPr>
      <w:r w:rsidRPr="00555C24">
        <w:rPr>
          <w:rFonts w:ascii="Arial" w:hAnsi="Arial" w:cs="Arial"/>
          <w:sz w:val="20"/>
          <w:szCs w:val="20"/>
          <w:lang w:val="fr-CH"/>
        </w:rPr>
        <w:t>La part des femmes</w:t>
      </w:r>
      <w:r w:rsidR="00637B35" w:rsidRPr="00555C24">
        <w:rPr>
          <w:rFonts w:ascii="Arial" w:hAnsi="Arial" w:cs="Arial"/>
          <w:sz w:val="20"/>
          <w:szCs w:val="20"/>
          <w:lang w:val="fr-CH"/>
        </w:rPr>
        <w:t xml:space="preserve"> </w:t>
      </w:r>
      <w:r w:rsidR="00BE0FEC">
        <w:rPr>
          <w:rFonts w:ascii="Arial" w:hAnsi="Arial" w:cs="Arial"/>
          <w:sz w:val="20"/>
          <w:szCs w:val="20"/>
          <w:lang w:val="fr-CH"/>
        </w:rPr>
        <w:t>dans les directions des</w:t>
      </w:r>
      <w:r w:rsidR="00555C24" w:rsidRPr="00555C24">
        <w:rPr>
          <w:rFonts w:ascii="Arial" w:hAnsi="Arial" w:cs="Arial"/>
          <w:sz w:val="20"/>
          <w:szCs w:val="20"/>
          <w:lang w:val="fr-CH"/>
        </w:rPr>
        <w:t xml:space="preserve"> entreprises étudiées par Travail.Suisse était de 6 pourcent en 2016. </w:t>
      </w:r>
      <w:r w:rsidR="00555C24">
        <w:rPr>
          <w:rFonts w:ascii="Arial" w:hAnsi="Arial" w:cs="Arial"/>
          <w:sz w:val="20"/>
          <w:szCs w:val="20"/>
          <w:lang w:val="fr-CH"/>
        </w:rPr>
        <w:t>Si l’on considère le graphique ci-dessous, l’évolution des dernières années indique une sta</w:t>
      </w:r>
      <w:r w:rsidR="00DF08DD">
        <w:rPr>
          <w:rFonts w:ascii="Arial" w:hAnsi="Arial" w:cs="Arial"/>
          <w:sz w:val="20"/>
          <w:szCs w:val="20"/>
          <w:lang w:val="fr-CH"/>
        </w:rPr>
        <w:t xml:space="preserve">gnation entre 4 et 6 pourcent. On ne voit donc pas d’évolution claire vers le seuil de 20 pourcent demandé de divers côtés.  Le fait qu’il n’y ait pas une seule femme dans les directions de 15 des 26 entreprises étudiées est à considérer comme particulièrement critique. </w:t>
      </w:r>
      <w:r w:rsidR="00BE0FEC">
        <w:rPr>
          <w:rFonts w:ascii="Arial" w:hAnsi="Arial" w:cs="Arial"/>
          <w:sz w:val="20"/>
          <w:szCs w:val="20"/>
          <w:lang w:val="fr-CH"/>
        </w:rPr>
        <w:t>Cela correspond à une proportion</w:t>
      </w:r>
      <w:r w:rsidR="00DF08DD">
        <w:rPr>
          <w:rFonts w:ascii="Arial" w:hAnsi="Arial" w:cs="Arial"/>
          <w:sz w:val="20"/>
          <w:szCs w:val="20"/>
          <w:lang w:val="fr-CH"/>
        </w:rPr>
        <w:t xml:space="preserve"> de 60 pourcent de cercles</w:t>
      </w:r>
      <w:r w:rsidR="00BE0FEC">
        <w:rPr>
          <w:rFonts w:ascii="Arial" w:hAnsi="Arial" w:cs="Arial"/>
          <w:sz w:val="20"/>
          <w:szCs w:val="20"/>
          <w:lang w:val="fr-CH"/>
        </w:rPr>
        <w:t xml:space="preserve"> directionnels</w:t>
      </w:r>
      <w:r w:rsidR="00DF08DD">
        <w:rPr>
          <w:rFonts w:ascii="Arial" w:hAnsi="Arial" w:cs="Arial"/>
          <w:sz w:val="20"/>
          <w:szCs w:val="20"/>
          <w:lang w:val="fr-CH"/>
        </w:rPr>
        <w:t xml:space="preserve"> purement masculins.  Le pourcentage des femmes dans les conseils d’administration</w:t>
      </w:r>
      <w:r w:rsidR="00BE0FEC">
        <w:rPr>
          <w:rFonts w:ascii="Arial" w:hAnsi="Arial" w:cs="Arial"/>
          <w:sz w:val="20"/>
          <w:szCs w:val="20"/>
          <w:lang w:val="fr-CH"/>
        </w:rPr>
        <w:t xml:space="preserve"> s’éle</w:t>
      </w:r>
      <w:r w:rsidR="00DF08DD">
        <w:rPr>
          <w:rFonts w:ascii="Arial" w:hAnsi="Arial" w:cs="Arial"/>
          <w:sz w:val="20"/>
          <w:szCs w:val="20"/>
          <w:lang w:val="fr-CH"/>
        </w:rPr>
        <w:t xml:space="preserve">vait en 2016 à 24 pourcent.  Cela confirme la montée continuelle des dernières années mais on reste toujours bien en-dessous des 30 pourcent demandés dans le </w:t>
      </w:r>
    </w:p>
    <w:p w:rsidR="00035581" w:rsidRPr="009658C9" w:rsidRDefault="00DF08DD" w:rsidP="004A5049">
      <w:pPr>
        <w:spacing w:after="0" w:line="300" w:lineRule="exact"/>
        <w:rPr>
          <w:rFonts w:ascii="Arial" w:hAnsi="Arial" w:cs="Arial"/>
          <w:sz w:val="20"/>
          <w:szCs w:val="20"/>
          <w:lang w:val="fr-CH"/>
        </w:rPr>
      </w:pPr>
      <w:r>
        <w:rPr>
          <w:rFonts w:ascii="Arial" w:hAnsi="Arial" w:cs="Arial"/>
          <w:sz w:val="20"/>
          <w:szCs w:val="20"/>
          <w:lang w:val="fr-CH"/>
        </w:rPr>
        <w:t>cadre de la révision du droit de la société anonyme.</w:t>
      </w:r>
    </w:p>
    <w:p w:rsidR="009658C9" w:rsidRPr="00555C24" w:rsidRDefault="004A5049" w:rsidP="004A5049">
      <w:pPr>
        <w:keepNext/>
        <w:spacing w:after="0" w:line="300" w:lineRule="exact"/>
        <w:rPr>
          <w:rFonts w:ascii="Arial" w:hAnsi="Arial" w:cs="Arial"/>
          <w:sz w:val="20"/>
          <w:szCs w:val="20"/>
          <w:lang w:val="fr-CH"/>
        </w:rPr>
      </w:pPr>
      <w:r>
        <w:rPr>
          <w:noProof/>
          <w:lang w:eastAsia="de-CH"/>
        </w:rPr>
        <w:drawing>
          <wp:anchor distT="0" distB="0" distL="114300" distR="114300" simplePos="0" relativeHeight="251662336" behindDoc="0" locked="0" layoutInCell="1" allowOverlap="1">
            <wp:simplePos x="0" y="0"/>
            <wp:positionH relativeFrom="margin">
              <wp:align>left</wp:align>
            </wp:positionH>
            <wp:positionV relativeFrom="paragraph">
              <wp:posOffset>233045</wp:posOffset>
            </wp:positionV>
            <wp:extent cx="4572000" cy="2752725"/>
            <wp:effectExtent l="0" t="0" r="0" b="9525"/>
            <wp:wrapTopAndBottom/>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035581" w:rsidRPr="002C59FA" w:rsidRDefault="002C59FA" w:rsidP="002F1FF1">
      <w:pPr>
        <w:pStyle w:val="Beschriftung"/>
        <w:spacing w:after="0" w:line="300" w:lineRule="exact"/>
        <w:rPr>
          <w:rFonts w:ascii="Arial" w:hAnsi="Arial" w:cs="Arial"/>
          <w:sz w:val="16"/>
          <w:szCs w:val="16"/>
          <w:lang w:val="fr-CH"/>
        </w:rPr>
      </w:pPr>
      <w:r w:rsidRPr="002C59FA">
        <w:rPr>
          <w:rFonts w:ascii="Arial" w:hAnsi="Arial" w:cs="Arial"/>
          <w:sz w:val="16"/>
          <w:szCs w:val="16"/>
          <w:lang w:val="fr-CH"/>
        </w:rPr>
        <w:t>Graphique 1: Pourcentage</w:t>
      </w:r>
      <w:r w:rsidR="004A5049">
        <w:rPr>
          <w:rFonts w:ascii="Arial" w:hAnsi="Arial" w:cs="Arial"/>
          <w:sz w:val="16"/>
          <w:szCs w:val="16"/>
          <w:lang w:val="fr-CH"/>
        </w:rPr>
        <w:t xml:space="preserve"> des femmes dans le C</w:t>
      </w:r>
      <w:r w:rsidRPr="002C59FA">
        <w:rPr>
          <w:rFonts w:ascii="Arial" w:hAnsi="Arial" w:cs="Arial"/>
          <w:sz w:val="16"/>
          <w:szCs w:val="16"/>
          <w:lang w:val="fr-CH"/>
        </w:rPr>
        <w:t xml:space="preserve">onseil d’administration </w:t>
      </w:r>
      <w:r w:rsidR="004A5049">
        <w:rPr>
          <w:rFonts w:ascii="Arial" w:hAnsi="Arial" w:cs="Arial"/>
          <w:sz w:val="16"/>
          <w:szCs w:val="16"/>
          <w:lang w:val="fr-CH"/>
        </w:rPr>
        <w:t>et la D</w:t>
      </w:r>
      <w:r w:rsidRPr="002C59FA">
        <w:rPr>
          <w:rFonts w:ascii="Arial" w:hAnsi="Arial" w:cs="Arial"/>
          <w:sz w:val="16"/>
          <w:szCs w:val="16"/>
          <w:lang w:val="fr-CH"/>
        </w:rPr>
        <w:t xml:space="preserve">irection de l’entreprise 2002-2016. </w:t>
      </w:r>
      <w:r>
        <w:rPr>
          <w:rFonts w:ascii="Arial" w:hAnsi="Arial" w:cs="Arial"/>
          <w:sz w:val="16"/>
          <w:szCs w:val="16"/>
          <w:lang w:val="fr-CH"/>
        </w:rPr>
        <w:t>Source : représentation propre, Travail.Suisse</w:t>
      </w:r>
    </w:p>
    <w:p w:rsidR="009F078C" w:rsidRPr="002C59FA" w:rsidRDefault="009F078C" w:rsidP="00584E92">
      <w:pPr>
        <w:spacing w:after="0" w:line="300" w:lineRule="exact"/>
        <w:rPr>
          <w:rFonts w:ascii="Arial" w:hAnsi="Arial" w:cs="Arial"/>
          <w:sz w:val="20"/>
          <w:szCs w:val="20"/>
          <w:lang w:val="fr-CH"/>
        </w:rPr>
      </w:pPr>
    </w:p>
    <w:p w:rsidR="00584E92" w:rsidRPr="00106EA8" w:rsidRDefault="00106EA8" w:rsidP="00584E92">
      <w:pPr>
        <w:spacing w:after="0" w:line="300" w:lineRule="exact"/>
        <w:rPr>
          <w:rFonts w:ascii="Arial" w:hAnsi="Arial" w:cs="Arial"/>
          <w:sz w:val="20"/>
          <w:szCs w:val="20"/>
          <w:lang w:val="fr-CH"/>
        </w:rPr>
      </w:pPr>
      <w:r w:rsidRPr="00106EA8">
        <w:rPr>
          <w:rFonts w:ascii="Arial" w:hAnsi="Arial" w:cs="Arial"/>
          <w:sz w:val="20"/>
          <w:szCs w:val="20"/>
          <w:lang w:val="fr-CH"/>
        </w:rPr>
        <w:t>Le fait qu’en 2016 13 pourcent des nouvelles personnes dans les directions d’entreprises et 28 pourcent dans les conseils d’administration des entreprises étudiées par Travail.Suisse étaient des femmes</w:t>
      </w:r>
      <w:r w:rsidR="00BE0FEC">
        <w:rPr>
          <w:rFonts w:ascii="Arial" w:hAnsi="Arial" w:cs="Arial"/>
          <w:sz w:val="20"/>
          <w:szCs w:val="20"/>
          <w:lang w:val="fr-CH"/>
        </w:rPr>
        <w:t xml:space="preserve"> laissent un certain espoir</w:t>
      </w:r>
      <w:r w:rsidRPr="00106EA8">
        <w:rPr>
          <w:rFonts w:ascii="Arial" w:hAnsi="Arial" w:cs="Arial"/>
          <w:sz w:val="20"/>
          <w:szCs w:val="20"/>
          <w:lang w:val="fr-CH"/>
        </w:rPr>
        <w:t xml:space="preserve"> pour le futur</w:t>
      </w:r>
      <w:r w:rsidR="003E61E1" w:rsidRPr="00106EA8">
        <w:rPr>
          <w:rFonts w:ascii="Arial" w:hAnsi="Arial" w:cs="Arial"/>
          <w:sz w:val="20"/>
          <w:szCs w:val="20"/>
          <w:lang w:val="fr-CH"/>
        </w:rPr>
        <w:t xml:space="preserve">. </w:t>
      </w:r>
      <w:r w:rsidRPr="00106EA8">
        <w:rPr>
          <w:rFonts w:ascii="Arial" w:hAnsi="Arial" w:cs="Arial"/>
          <w:sz w:val="20"/>
          <w:szCs w:val="20"/>
          <w:lang w:val="fr-CH"/>
        </w:rPr>
        <w:t>Les derniers chiffres du</w:t>
      </w:r>
      <w:r w:rsidR="00637B35" w:rsidRPr="00106EA8">
        <w:rPr>
          <w:rFonts w:ascii="Arial" w:hAnsi="Arial" w:cs="Arial"/>
          <w:sz w:val="20"/>
          <w:szCs w:val="20"/>
          <w:lang w:val="fr-CH"/>
        </w:rPr>
        <w:t xml:space="preserve"> </w:t>
      </w:r>
      <w:proofErr w:type="spellStart"/>
      <w:r w:rsidR="00637B35" w:rsidRPr="00106EA8">
        <w:rPr>
          <w:rFonts w:ascii="Arial" w:hAnsi="Arial" w:cs="Arial"/>
          <w:i/>
          <w:sz w:val="20"/>
          <w:szCs w:val="20"/>
          <w:lang w:val="fr-CH"/>
        </w:rPr>
        <w:t>Schillingreports</w:t>
      </w:r>
      <w:proofErr w:type="spellEnd"/>
      <w:r w:rsidR="00637B35" w:rsidRPr="00106EA8">
        <w:rPr>
          <w:rFonts w:ascii="Arial" w:hAnsi="Arial" w:cs="Arial"/>
          <w:i/>
          <w:sz w:val="20"/>
          <w:szCs w:val="20"/>
          <w:lang w:val="fr-CH"/>
        </w:rPr>
        <w:t> 2017</w:t>
      </w:r>
      <w:r w:rsidR="006A2A31" w:rsidRPr="00584E92">
        <w:rPr>
          <w:rStyle w:val="Funotenzeichen"/>
          <w:rFonts w:ascii="Arial" w:hAnsi="Arial" w:cs="Arial"/>
          <w:sz w:val="20"/>
          <w:szCs w:val="20"/>
        </w:rPr>
        <w:footnoteReference w:id="1"/>
      </w:r>
      <w:r w:rsidR="00637B35" w:rsidRPr="00106EA8">
        <w:rPr>
          <w:rFonts w:ascii="Arial" w:hAnsi="Arial" w:cs="Arial"/>
          <w:sz w:val="20"/>
          <w:szCs w:val="20"/>
          <w:lang w:val="fr-CH"/>
        </w:rPr>
        <w:t xml:space="preserve"> </w:t>
      </w:r>
      <w:r w:rsidRPr="00106EA8">
        <w:rPr>
          <w:rFonts w:ascii="Arial" w:hAnsi="Arial" w:cs="Arial"/>
          <w:sz w:val="20"/>
          <w:szCs w:val="20"/>
          <w:lang w:val="fr-CH"/>
        </w:rPr>
        <w:t>confirment cette évolution positive</w:t>
      </w:r>
      <w:r w:rsidR="003E61E1" w:rsidRPr="00106EA8">
        <w:rPr>
          <w:rFonts w:ascii="Arial" w:hAnsi="Arial" w:cs="Arial"/>
          <w:sz w:val="20"/>
          <w:szCs w:val="20"/>
          <w:lang w:val="fr-CH"/>
        </w:rPr>
        <w:t xml:space="preserve"> </w:t>
      </w:r>
      <w:r w:rsidRPr="00106EA8">
        <w:rPr>
          <w:rFonts w:ascii="Arial" w:hAnsi="Arial" w:cs="Arial"/>
          <w:sz w:val="20"/>
          <w:szCs w:val="20"/>
          <w:lang w:val="fr-CH"/>
        </w:rPr>
        <w:t>mais montrent aussi clairement que le pourcentage de femmes dans des fonctio</w:t>
      </w:r>
      <w:r w:rsidR="00BE0FEC">
        <w:rPr>
          <w:rFonts w:ascii="Arial" w:hAnsi="Arial" w:cs="Arial"/>
          <w:sz w:val="20"/>
          <w:szCs w:val="20"/>
          <w:lang w:val="fr-CH"/>
        </w:rPr>
        <w:t>ns dirigeantes reste désespérément</w:t>
      </w:r>
      <w:r w:rsidRPr="00106EA8">
        <w:rPr>
          <w:rFonts w:ascii="Arial" w:hAnsi="Arial" w:cs="Arial"/>
          <w:sz w:val="20"/>
          <w:szCs w:val="20"/>
          <w:lang w:val="fr-CH"/>
        </w:rPr>
        <w:t xml:space="preserve"> bas. </w:t>
      </w:r>
      <w:r>
        <w:rPr>
          <w:rFonts w:ascii="Arial" w:hAnsi="Arial" w:cs="Arial"/>
          <w:sz w:val="20"/>
          <w:szCs w:val="20"/>
          <w:lang w:val="fr-CH"/>
        </w:rPr>
        <w:t>Cela vaut la peine à cet égard de jeter un regard au-delà de la frontière ; on constate alors</w:t>
      </w:r>
      <w:r w:rsidR="0089069A">
        <w:rPr>
          <w:rFonts w:ascii="Arial" w:hAnsi="Arial" w:cs="Arial"/>
          <w:sz w:val="20"/>
          <w:szCs w:val="20"/>
          <w:lang w:val="fr-CH"/>
        </w:rPr>
        <w:t>,</w:t>
      </w:r>
      <w:r>
        <w:rPr>
          <w:rFonts w:ascii="Arial" w:hAnsi="Arial" w:cs="Arial"/>
          <w:sz w:val="20"/>
          <w:szCs w:val="20"/>
          <w:lang w:val="fr-CH"/>
        </w:rPr>
        <w:t xml:space="preserve"> en particulier en comparaison européenne</w:t>
      </w:r>
      <w:r w:rsidR="0089069A">
        <w:rPr>
          <w:rFonts w:ascii="Arial" w:hAnsi="Arial" w:cs="Arial"/>
          <w:sz w:val="20"/>
          <w:szCs w:val="20"/>
          <w:lang w:val="fr-CH"/>
        </w:rPr>
        <w:t>,</w:t>
      </w:r>
      <w:r>
        <w:rPr>
          <w:rFonts w:ascii="Arial" w:hAnsi="Arial" w:cs="Arial"/>
          <w:sz w:val="20"/>
          <w:szCs w:val="20"/>
          <w:lang w:val="fr-CH"/>
        </w:rPr>
        <w:t xml:space="preserve"> que la Suisse reste toujours clairement à </w:t>
      </w:r>
      <w:r w:rsidR="0089069A">
        <w:rPr>
          <w:rFonts w:ascii="Arial" w:hAnsi="Arial" w:cs="Arial"/>
          <w:sz w:val="20"/>
          <w:szCs w:val="20"/>
          <w:lang w:val="fr-CH"/>
        </w:rPr>
        <w:t>la traîne et que le besoin de rattrapage est patent.</w:t>
      </w:r>
    </w:p>
    <w:p w:rsidR="00584E92" w:rsidRDefault="00584E92" w:rsidP="00584E92">
      <w:pPr>
        <w:spacing w:after="0" w:line="300" w:lineRule="exact"/>
        <w:rPr>
          <w:rFonts w:ascii="Arial" w:hAnsi="Arial" w:cs="Arial"/>
          <w:sz w:val="20"/>
          <w:szCs w:val="20"/>
          <w:lang w:val="fr-CH"/>
        </w:rPr>
      </w:pPr>
    </w:p>
    <w:p w:rsidR="001A08C5" w:rsidRPr="00106EA8" w:rsidRDefault="001A08C5" w:rsidP="00584E92">
      <w:pPr>
        <w:spacing w:after="0" w:line="300" w:lineRule="exact"/>
        <w:rPr>
          <w:rFonts w:ascii="Arial" w:hAnsi="Arial" w:cs="Arial"/>
          <w:sz w:val="20"/>
          <w:szCs w:val="20"/>
          <w:lang w:val="fr-CH"/>
        </w:rPr>
      </w:pPr>
    </w:p>
    <w:p w:rsidR="00185B86" w:rsidRPr="00794408" w:rsidRDefault="00794408" w:rsidP="00584E92">
      <w:pPr>
        <w:spacing w:after="0" w:line="300" w:lineRule="exact"/>
        <w:rPr>
          <w:rFonts w:ascii="Arial" w:hAnsi="Arial" w:cs="Arial"/>
          <w:b/>
          <w:sz w:val="20"/>
          <w:szCs w:val="20"/>
          <w:lang w:val="fr-CH"/>
        </w:rPr>
      </w:pPr>
      <w:r w:rsidRPr="00794408">
        <w:rPr>
          <w:rFonts w:ascii="Arial" w:hAnsi="Arial" w:cs="Arial"/>
          <w:b/>
          <w:sz w:val="20"/>
          <w:szCs w:val="20"/>
          <w:lang w:val="fr-CH"/>
        </w:rPr>
        <w:t>La Suisse, lanterne rouge en comparaison européenne</w:t>
      </w:r>
    </w:p>
    <w:p w:rsidR="00584E92" w:rsidRPr="00794408" w:rsidRDefault="00584E92" w:rsidP="00584E92">
      <w:pPr>
        <w:spacing w:after="0" w:line="300" w:lineRule="exact"/>
        <w:rPr>
          <w:rFonts w:ascii="Arial" w:hAnsi="Arial" w:cs="Arial"/>
          <w:b/>
          <w:sz w:val="20"/>
          <w:szCs w:val="20"/>
          <w:lang w:val="fr-CH"/>
        </w:rPr>
      </w:pPr>
    </w:p>
    <w:p w:rsidR="00584E92" w:rsidRDefault="005444F1" w:rsidP="00584E92">
      <w:pPr>
        <w:spacing w:after="0" w:line="300" w:lineRule="exact"/>
        <w:rPr>
          <w:rFonts w:ascii="Arial" w:hAnsi="Arial" w:cs="Arial"/>
          <w:sz w:val="20"/>
          <w:szCs w:val="20"/>
          <w:lang w:val="fr-CH"/>
        </w:rPr>
      </w:pPr>
      <w:r w:rsidRPr="005444F1">
        <w:rPr>
          <w:rFonts w:ascii="Arial" w:hAnsi="Arial" w:cs="Arial"/>
          <w:sz w:val="20"/>
          <w:szCs w:val="20"/>
          <w:lang w:val="fr-CH"/>
        </w:rPr>
        <w:t>Selon les données du</w:t>
      </w:r>
      <w:r w:rsidR="00C33B9B" w:rsidRPr="005444F1">
        <w:rPr>
          <w:rFonts w:ascii="Arial" w:hAnsi="Arial" w:cs="Arial"/>
          <w:sz w:val="20"/>
          <w:szCs w:val="20"/>
          <w:lang w:val="fr-CH"/>
        </w:rPr>
        <w:t xml:space="preserve"> </w:t>
      </w:r>
      <w:r w:rsidR="00C33B9B" w:rsidRPr="005444F1">
        <w:rPr>
          <w:rFonts w:ascii="Arial" w:hAnsi="Arial" w:cs="Arial"/>
          <w:i/>
          <w:sz w:val="20"/>
          <w:szCs w:val="20"/>
          <w:lang w:val="fr-CH"/>
        </w:rPr>
        <w:t xml:space="preserve">Peterson Institute for International </w:t>
      </w:r>
      <w:proofErr w:type="spellStart"/>
      <w:r w:rsidR="00C33B9B" w:rsidRPr="005444F1">
        <w:rPr>
          <w:rFonts w:ascii="Arial" w:hAnsi="Arial" w:cs="Arial"/>
          <w:i/>
          <w:sz w:val="20"/>
          <w:szCs w:val="20"/>
          <w:lang w:val="fr-CH"/>
        </w:rPr>
        <w:t>Economics</w:t>
      </w:r>
      <w:proofErr w:type="spellEnd"/>
      <w:r w:rsidR="003F4D58" w:rsidRPr="00584E92">
        <w:rPr>
          <w:rStyle w:val="Funotenzeichen"/>
          <w:rFonts w:ascii="Arial" w:hAnsi="Arial" w:cs="Arial"/>
          <w:i/>
          <w:sz w:val="20"/>
          <w:szCs w:val="20"/>
        </w:rPr>
        <w:footnoteReference w:id="2"/>
      </w:r>
      <w:r w:rsidRPr="005444F1">
        <w:rPr>
          <w:rFonts w:ascii="Arial" w:hAnsi="Arial" w:cs="Arial"/>
          <w:sz w:val="20"/>
          <w:szCs w:val="20"/>
          <w:lang w:val="fr-CH"/>
        </w:rPr>
        <w:t xml:space="preserve"> la Suisse se situait en</w:t>
      </w:r>
      <w:r w:rsidR="00C33B9B" w:rsidRPr="005444F1">
        <w:rPr>
          <w:rFonts w:ascii="Arial" w:hAnsi="Arial" w:cs="Arial"/>
          <w:sz w:val="20"/>
          <w:szCs w:val="20"/>
          <w:lang w:val="fr-CH"/>
        </w:rPr>
        <w:t xml:space="preserve"> 2016 </w:t>
      </w:r>
      <w:r w:rsidRPr="005444F1">
        <w:rPr>
          <w:rFonts w:ascii="Arial" w:hAnsi="Arial" w:cs="Arial"/>
          <w:sz w:val="20"/>
          <w:szCs w:val="20"/>
          <w:lang w:val="fr-CH"/>
        </w:rPr>
        <w:t xml:space="preserve"> concernant la représentation des femmes dans les directions des entreprises à la pitoyable 56</w:t>
      </w:r>
      <w:r w:rsidRPr="005444F1">
        <w:rPr>
          <w:rFonts w:ascii="Arial" w:hAnsi="Arial" w:cs="Arial"/>
          <w:sz w:val="20"/>
          <w:szCs w:val="20"/>
          <w:vertAlign w:val="superscript"/>
          <w:lang w:val="fr-CH"/>
        </w:rPr>
        <w:t>ème</w:t>
      </w:r>
      <w:r>
        <w:rPr>
          <w:rFonts w:ascii="Arial" w:hAnsi="Arial" w:cs="Arial"/>
          <w:sz w:val="20"/>
          <w:szCs w:val="20"/>
          <w:lang w:val="fr-CH"/>
        </w:rPr>
        <w:t xml:space="preserve"> place sur 59 pays examinés.  Pendant que la proportion des femmes atteint près de 40 pourcent en Norvège, elle dépasse 20 pourcent dans des pays comme l’Italie, la Suède ou la Finlande.  La Suisse se démarque clairement avec 8 pourcent selon l’étude. </w:t>
      </w:r>
    </w:p>
    <w:p w:rsidR="005444F1" w:rsidRPr="005444F1" w:rsidRDefault="005444F1" w:rsidP="00584E92">
      <w:pPr>
        <w:spacing w:after="0" w:line="300" w:lineRule="exact"/>
        <w:rPr>
          <w:rFonts w:ascii="Arial" w:hAnsi="Arial" w:cs="Arial"/>
          <w:sz w:val="20"/>
          <w:szCs w:val="20"/>
          <w:lang w:val="fr-CH"/>
        </w:rPr>
      </w:pPr>
    </w:p>
    <w:p w:rsidR="00D4365C" w:rsidRPr="001F22B9" w:rsidRDefault="005444F1" w:rsidP="00584E92">
      <w:pPr>
        <w:spacing w:after="0" w:line="300" w:lineRule="exact"/>
        <w:rPr>
          <w:rFonts w:ascii="Arial" w:hAnsi="Arial" w:cs="Arial"/>
          <w:sz w:val="20"/>
          <w:szCs w:val="20"/>
          <w:lang w:val="fr-CH"/>
        </w:rPr>
      </w:pPr>
      <w:r w:rsidRPr="005444F1">
        <w:rPr>
          <w:rFonts w:ascii="Arial" w:hAnsi="Arial" w:cs="Arial"/>
          <w:sz w:val="20"/>
          <w:szCs w:val="20"/>
          <w:lang w:val="fr-CH"/>
        </w:rPr>
        <w:t>Un tableau semblable se dégage des conseils d’administration</w:t>
      </w:r>
      <w:r w:rsidR="00164CF7" w:rsidRPr="005444F1">
        <w:rPr>
          <w:rFonts w:ascii="Arial" w:hAnsi="Arial" w:cs="Arial"/>
          <w:sz w:val="20"/>
          <w:szCs w:val="20"/>
          <w:lang w:val="fr-CH"/>
        </w:rPr>
        <w:t xml:space="preserve">. </w:t>
      </w:r>
      <w:r w:rsidRPr="005444F1">
        <w:rPr>
          <w:rFonts w:ascii="Arial" w:hAnsi="Arial" w:cs="Arial"/>
          <w:sz w:val="20"/>
          <w:szCs w:val="20"/>
          <w:lang w:val="fr-CH"/>
        </w:rPr>
        <w:t xml:space="preserve">Selon les chiffres du </w:t>
      </w:r>
      <w:proofErr w:type="spellStart"/>
      <w:r w:rsidRPr="005444F1">
        <w:rPr>
          <w:rFonts w:ascii="Arial" w:hAnsi="Arial" w:cs="Arial"/>
          <w:sz w:val="20"/>
          <w:szCs w:val="20"/>
          <w:lang w:val="fr-CH"/>
        </w:rPr>
        <w:t>Schillingreports</w:t>
      </w:r>
      <w:proofErr w:type="spellEnd"/>
      <w:r w:rsidR="00A23522" w:rsidRPr="005444F1">
        <w:rPr>
          <w:rFonts w:ascii="Arial" w:hAnsi="Arial" w:cs="Arial"/>
          <w:sz w:val="20"/>
          <w:szCs w:val="20"/>
          <w:lang w:val="fr-CH"/>
        </w:rPr>
        <w:t xml:space="preserve"> 2017</w:t>
      </w:r>
      <w:r w:rsidR="009B667E" w:rsidRPr="00584E92">
        <w:rPr>
          <w:rStyle w:val="Funotenzeichen"/>
          <w:rFonts w:ascii="Arial" w:hAnsi="Arial" w:cs="Arial"/>
          <w:sz w:val="20"/>
          <w:szCs w:val="20"/>
        </w:rPr>
        <w:footnoteReference w:id="3"/>
      </w:r>
      <w:r w:rsidRPr="005444F1">
        <w:rPr>
          <w:rFonts w:ascii="Arial" w:hAnsi="Arial" w:cs="Arial"/>
          <w:sz w:val="20"/>
          <w:szCs w:val="20"/>
          <w:lang w:val="fr-CH"/>
        </w:rPr>
        <w:t xml:space="preserve"> et une étude du</w:t>
      </w:r>
      <w:r w:rsidR="0089069A">
        <w:rPr>
          <w:rFonts w:ascii="Arial" w:hAnsi="Arial" w:cs="Arial"/>
          <w:sz w:val="20"/>
          <w:szCs w:val="20"/>
          <w:lang w:val="fr-CH"/>
        </w:rPr>
        <w:t xml:space="preserve"> Cré</w:t>
      </w:r>
      <w:r w:rsidR="00A23522" w:rsidRPr="005444F1">
        <w:rPr>
          <w:rFonts w:ascii="Arial" w:hAnsi="Arial" w:cs="Arial"/>
          <w:sz w:val="20"/>
          <w:szCs w:val="20"/>
          <w:lang w:val="fr-CH"/>
        </w:rPr>
        <w:t>dit Suisse</w:t>
      </w:r>
      <w:r w:rsidR="009B667E" w:rsidRPr="00584E92">
        <w:rPr>
          <w:rStyle w:val="Funotenzeichen"/>
          <w:rFonts w:ascii="Arial" w:hAnsi="Arial" w:cs="Arial"/>
          <w:sz w:val="20"/>
          <w:szCs w:val="20"/>
        </w:rPr>
        <w:footnoteReference w:id="4"/>
      </w:r>
      <w:r w:rsidRPr="005444F1">
        <w:rPr>
          <w:rFonts w:ascii="Arial" w:hAnsi="Arial" w:cs="Arial"/>
          <w:sz w:val="20"/>
          <w:szCs w:val="20"/>
          <w:lang w:val="fr-CH"/>
        </w:rPr>
        <w:t xml:space="preserve"> la Suisse se situe l</w:t>
      </w:r>
      <w:r>
        <w:rPr>
          <w:rFonts w:ascii="Arial" w:hAnsi="Arial" w:cs="Arial"/>
          <w:sz w:val="20"/>
          <w:szCs w:val="20"/>
          <w:lang w:val="fr-CH"/>
        </w:rPr>
        <w:t xml:space="preserve">à aussi à l’une des dernières places pour la représentation des femmes. </w:t>
      </w:r>
      <w:r w:rsidRPr="005444F1">
        <w:rPr>
          <w:rFonts w:ascii="Arial" w:hAnsi="Arial" w:cs="Arial"/>
          <w:sz w:val="20"/>
          <w:szCs w:val="20"/>
          <w:lang w:val="fr-CH"/>
        </w:rPr>
        <w:t>La Norvège est encore une fois en tête avec un pourcentage de femmes de plus de 40 pourcent.</w:t>
      </w:r>
      <w:r>
        <w:rPr>
          <w:rFonts w:ascii="Arial" w:hAnsi="Arial" w:cs="Arial"/>
          <w:sz w:val="20"/>
          <w:szCs w:val="20"/>
          <w:lang w:val="fr-CH"/>
        </w:rPr>
        <w:t xml:space="preserve"> </w:t>
      </w:r>
      <w:r w:rsidRPr="005444F1">
        <w:rPr>
          <w:rFonts w:ascii="Arial" w:hAnsi="Arial" w:cs="Arial"/>
          <w:sz w:val="20"/>
          <w:szCs w:val="20"/>
          <w:lang w:val="fr-CH"/>
        </w:rPr>
        <w:t>Mais aussi la France, la Suède, l’Italie, la Finlande et maintenant l’Allemagne atteignent des valeurs de plus de 30 pourcent pendant que la Suisse, selon</w:t>
      </w:r>
      <w:r>
        <w:rPr>
          <w:rFonts w:ascii="Arial" w:hAnsi="Arial" w:cs="Arial"/>
          <w:sz w:val="20"/>
          <w:szCs w:val="20"/>
          <w:lang w:val="fr-CH"/>
        </w:rPr>
        <w:t xml:space="preserve"> l’étude du Crédit</w:t>
      </w:r>
      <w:r w:rsidR="004F33D1">
        <w:rPr>
          <w:rFonts w:ascii="Arial" w:hAnsi="Arial" w:cs="Arial"/>
          <w:sz w:val="20"/>
          <w:szCs w:val="20"/>
          <w:lang w:val="fr-CH"/>
        </w:rPr>
        <w:t xml:space="preserve"> suisse, avec un pourcentage de f</w:t>
      </w:r>
      <w:r>
        <w:rPr>
          <w:rFonts w:ascii="Arial" w:hAnsi="Arial" w:cs="Arial"/>
          <w:sz w:val="20"/>
          <w:szCs w:val="20"/>
          <w:lang w:val="fr-CH"/>
        </w:rPr>
        <w:t>emmes de 13.4 pourcent</w:t>
      </w:r>
      <w:r w:rsidR="004F33D1">
        <w:rPr>
          <w:rFonts w:ascii="Arial" w:hAnsi="Arial" w:cs="Arial"/>
          <w:sz w:val="20"/>
          <w:szCs w:val="20"/>
          <w:lang w:val="fr-CH"/>
        </w:rPr>
        <w:t>,</w:t>
      </w:r>
      <w:r>
        <w:rPr>
          <w:rFonts w:ascii="Arial" w:hAnsi="Arial" w:cs="Arial"/>
          <w:sz w:val="20"/>
          <w:szCs w:val="20"/>
          <w:lang w:val="fr-CH"/>
        </w:rPr>
        <w:t xml:space="preserve"> est bien en-dessous de la moyenne européenne et de la moyenne globale</w:t>
      </w:r>
      <w:r w:rsidR="00881E64" w:rsidRPr="005444F1">
        <w:rPr>
          <w:rFonts w:ascii="Arial" w:hAnsi="Arial" w:cs="Arial"/>
          <w:sz w:val="20"/>
          <w:szCs w:val="20"/>
          <w:lang w:val="fr-CH"/>
        </w:rPr>
        <w:t>.</w:t>
      </w:r>
      <w:r w:rsidR="006C50AF" w:rsidRPr="00584E92">
        <w:rPr>
          <w:rStyle w:val="Funotenzeichen"/>
          <w:rFonts w:ascii="Arial" w:hAnsi="Arial" w:cs="Arial"/>
          <w:sz w:val="20"/>
          <w:szCs w:val="20"/>
        </w:rPr>
        <w:footnoteReference w:id="5"/>
      </w:r>
      <w:r w:rsidR="00D4365C" w:rsidRPr="005444F1">
        <w:rPr>
          <w:rFonts w:ascii="Arial" w:hAnsi="Arial" w:cs="Arial"/>
          <w:sz w:val="20"/>
          <w:szCs w:val="20"/>
          <w:lang w:val="fr-CH"/>
        </w:rPr>
        <w:t xml:space="preserve"> </w:t>
      </w:r>
      <w:r w:rsidR="001F22B9">
        <w:rPr>
          <w:rFonts w:ascii="Arial" w:hAnsi="Arial" w:cs="Arial"/>
          <w:sz w:val="20"/>
          <w:szCs w:val="20"/>
          <w:lang w:val="fr-CH"/>
        </w:rPr>
        <w:t>La Suisse se retrouve de fait en matière de représentation féminine plus près de pays comme l’Inde ou la Thaïlande que des pays voisins européens.</w:t>
      </w:r>
    </w:p>
    <w:p w:rsidR="00584E92" w:rsidRPr="001F22B9" w:rsidRDefault="00584E92" w:rsidP="00584E92">
      <w:pPr>
        <w:spacing w:after="0" w:line="300" w:lineRule="exact"/>
        <w:rPr>
          <w:rFonts w:ascii="Arial" w:hAnsi="Arial" w:cs="Arial"/>
          <w:sz w:val="20"/>
          <w:szCs w:val="20"/>
          <w:lang w:val="fr-CH"/>
        </w:rPr>
      </w:pPr>
    </w:p>
    <w:p w:rsidR="00F24F6A" w:rsidRPr="00F141CA" w:rsidRDefault="00F141CA" w:rsidP="00584E92">
      <w:pPr>
        <w:spacing w:after="0" w:line="300" w:lineRule="exact"/>
        <w:rPr>
          <w:rFonts w:ascii="Arial" w:hAnsi="Arial" w:cs="Arial"/>
          <w:sz w:val="20"/>
          <w:szCs w:val="20"/>
          <w:lang w:val="fr-CH"/>
        </w:rPr>
      </w:pPr>
      <w:r w:rsidRPr="00F141CA">
        <w:rPr>
          <w:rFonts w:ascii="Arial" w:hAnsi="Arial" w:cs="Arial"/>
          <w:sz w:val="20"/>
          <w:szCs w:val="20"/>
          <w:lang w:val="fr-CH"/>
        </w:rPr>
        <w:t>Ce fait effrayant</w:t>
      </w:r>
      <w:r w:rsidR="00F74A81" w:rsidRPr="00F141CA">
        <w:rPr>
          <w:rFonts w:ascii="Arial" w:hAnsi="Arial" w:cs="Arial"/>
          <w:sz w:val="20"/>
          <w:szCs w:val="20"/>
          <w:lang w:val="fr-CH"/>
        </w:rPr>
        <w:t xml:space="preserve"> </w:t>
      </w:r>
      <w:r w:rsidRPr="00F141CA">
        <w:rPr>
          <w:rFonts w:ascii="Arial" w:hAnsi="Arial" w:cs="Arial"/>
          <w:sz w:val="20"/>
          <w:szCs w:val="20"/>
          <w:lang w:val="fr-CH"/>
        </w:rPr>
        <w:t>est en particulier redevable aux progrès remarquables réalisés par de nombreux pays européens au cours des dernière</w:t>
      </w:r>
      <w:r>
        <w:rPr>
          <w:rFonts w:ascii="Arial" w:hAnsi="Arial" w:cs="Arial"/>
          <w:sz w:val="20"/>
          <w:szCs w:val="20"/>
          <w:lang w:val="fr-CH"/>
        </w:rPr>
        <w:t xml:space="preserve">s années. </w:t>
      </w:r>
      <w:r w:rsidRPr="00F141CA">
        <w:rPr>
          <w:rFonts w:ascii="Arial" w:hAnsi="Arial" w:cs="Arial"/>
          <w:sz w:val="20"/>
          <w:szCs w:val="20"/>
          <w:lang w:val="fr-CH"/>
        </w:rPr>
        <w:t>En Norvège, en Belgique, en France, en Italie, aux Pays-Bas et en Allemagne, les quotas de femmes dans les conseils d’administration</w:t>
      </w:r>
      <w:r w:rsidR="004F33D1">
        <w:rPr>
          <w:rFonts w:ascii="Arial" w:hAnsi="Arial" w:cs="Arial"/>
          <w:sz w:val="20"/>
          <w:szCs w:val="20"/>
          <w:lang w:val="fr-CH"/>
        </w:rPr>
        <w:t xml:space="preserve"> des plus grandes entreprises sont</w:t>
      </w:r>
      <w:r>
        <w:rPr>
          <w:rFonts w:ascii="Arial" w:hAnsi="Arial" w:cs="Arial"/>
          <w:sz w:val="20"/>
          <w:szCs w:val="20"/>
          <w:lang w:val="fr-CH"/>
        </w:rPr>
        <w:t xml:space="preserve"> aujourd’hui réalité. </w:t>
      </w:r>
      <w:r w:rsidRPr="00F141CA">
        <w:rPr>
          <w:rFonts w:ascii="Arial" w:hAnsi="Arial" w:cs="Arial"/>
          <w:sz w:val="20"/>
          <w:szCs w:val="20"/>
          <w:lang w:val="fr-CH"/>
        </w:rPr>
        <w:t>Alors que la Norvège prévoit de lourdes sanctions si les objectifs ne sont</w:t>
      </w:r>
      <w:r w:rsidR="004F33D1">
        <w:rPr>
          <w:rFonts w:ascii="Arial" w:hAnsi="Arial" w:cs="Arial"/>
          <w:sz w:val="20"/>
          <w:szCs w:val="20"/>
          <w:lang w:val="fr-CH"/>
        </w:rPr>
        <w:t xml:space="preserve"> pas atteints, </w:t>
      </w:r>
      <w:r>
        <w:rPr>
          <w:rFonts w:ascii="Arial" w:hAnsi="Arial" w:cs="Arial"/>
          <w:sz w:val="20"/>
          <w:szCs w:val="20"/>
          <w:lang w:val="fr-CH"/>
        </w:rPr>
        <w:t>la plupart des autres pays</w:t>
      </w:r>
      <w:r w:rsidR="004F33D1">
        <w:rPr>
          <w:rFonts w:ascii="Arial" w:hAnsi="Arial" w:cs="Arial"/>
          <w:sz w:val="20"/>
          <w:szCs w:val="20"/>
          <w:lang w:val="fr-CH"/>
        </w:rPr>
        <w:t xml:space="preserve"> ne prévoient pas de sanctions</w:t>
      </w:r>
      <w:r>
        <w:rPr>
          <w:rFonts w:ascii="Arial" w:hAnsi="Arial" w:cs="Arial"/>
          <w:sz w:val="20"/>
          <w:szCs w:val="20"/>
          <w:lang w:val="fr-CH"/>
        </w:rPr>
        <w:t xml:space="preserve">.  </w:t>
      </w:r>
      <w:r w:rsidRPr="00F141CA">
        <w:rPr>
          <w:rFonts w:ascii="Arial" w:hAnsi="Arial" w:cs="Arial"/>
          <w:sz w:val="20"/>
          <w:szCs w:val="20"/>
          <w:lang w:val="fr-CH"/>
        </w:rPr>
        <w:t>Pour la Suisse,</w:t>
      </w:r>
      <w:r w:rsidR="004F33D1">
        <w:rPr>
          <w:rFonts w:ascii="Arial" w:hAnsi="Arial" w:cs="Arial"/>
          <w:sz w:val="20"/>
          <w:szCs w:val="20"/>
          <w:lang w:val="fr-CH"/>
        </w:rPr>
        <w:t xml:space="preserve"> la comparaison</w:t>
      </w:r>
      <w:r w:rsidRPr="00F141CA">
        <w:rPr>
          <w:rFonts w:ascii="Arial" w:hAnsi="Arial" w:cs="Arial"/>
          <w:sz w:val="20"/>
          <w:szCs w:val="20"/>
          <w:lang w:val="fr-CH"/>
        </w:rPr>
        <w:t xml:space="preserve"> peut être très  intéressante</w:t>
      </w:r>
      <w:r w:rsidR="004F33D1">
        <w:rPr>
          <w:rFonts w:ascii="Arial" w:hAnsi="Arial" w:cs="Arial"/>
          <w:sz w:val="20"/>
          <w:szCs w:val="20"/>
          <w:lang w:val="fr-CH"/>
        </w:rPr>
        <w:t xml:space="preserve"> avec l’Allemagne</w:t>
      </w:r>
      <w:r w:rsidRPr="00F141CA">
        <w:rPr>
          <w:rFonts w:ascii="Arial" w:hAnsi="Arial" w:cs="Arial"/>
          <w:sz w:val="20"/>
          <w:szCs w:val="20"/>
          <w:lang w:val="fr-CH"/>
        </w:rPr>
        <w:t xml:space="preserve"> qui a introduit un quota de 30 pourcent de fe</w:t>
      </w:r>
      <w:r>
        <w:rPr>
          <w:rFonts w:ascii="Arial" w:hAnsi="Arial" w:cs="Arial"/>
          <w:sz w:val="20"/>
          <w:szCs w:val="20"/>
          <w:lang w:val="fr-CH"/>
        </w:rPr>
        <w:t xml:space="preserve">mmes dans les conseils d’administration en 2016. </w:t>
      </w:r>
      <w:r w:rsidRPr="00F141CA">
        <w:rPr>
          <w:rFonts w:ascii="Arial" w:hAnsi="Arial" w:cs="Arial"/>
          <w:sz w:val="20"/>
          <w:szCs w:val="20"/>
          <w:lang w:val="fr-CH"/>
        </w:rPr>
        <w:t>C</w:t>
      </w:r>
      <w:r w:rsidR="004F33D1">
        <w:rPr>
          <w:rFonts w:ascii="Arial" w:hAnsi="Arial" w:cs="Arial"/>
          <w:sz w:val="20"/>
          <w:szCs w:val="20"/>
          <w:lang w:val="fr-CH"/>
        </w:rPr>
        <w:t>inq mois après l’introduction du</w:t>
      </w:r>
      <w:r w:rsidRPr="00F141CA">
        <w:rPr>
          <w:rFonts w:ascii="Arial" w:hAnsi="Arial" w:cs="Arial"/>
          <w:sz w:val="20"/>
          <w:szCs w:val="20"/>
          <w:lang w:val="fr-CH"/>
        </w:rPr>
        <w:t xml:space="preserve"> quota, le pourcentage </w:t>
      </w:r>
      <w:r w:rsidRPr="00F141CA">
        <w:rPr>
          <w:rFonts w:ascii="Arial" w:hAnsi="Arial" w:cs="Arial"/>
          <w:sz w:val="20"/>
          <w:szCs w:val="20"/>
          <w:lang w:val="fr-CH"/>
        </w:rPr>
        <w:lastRenderedPageBreak/>
        <w:t>de femmes était déjà au-dessus de 30 pourcent et presque deux tiers des</w:t>
      </w:r>
      <w:r>
        <w:rPr>
          <w:rFonts w:ascii="Arial" w:hAnsi="Arial" w:cs="Arial"/>
          <w:sz w:val="20"/>
          <w:szCs w:val="20"/>
          <w:lang w:val="fr-CH"/>
        </w:rPr>
        <w:t xml:space="preserve"> entrepr</w:t>
      </w:r>
      <w:r w:rsidR="004F33D1">
        <w:rPr>
          <w:rFonts w:ascii="Arial" w:hAnsi="Arial" w:cs="Arial"/>
          <w:sz w:val="20"/>
          <w:szCs w:val="20"/>
          <w:lang w:val="fr-CH"/>
        </w:rPr>
        <w:t>ises cotées au DAX re</w:t>
      </w:r>
      <w:r>
        <w:rPr>
          <w:rFonts w:ascii="Arial" w:hAnsi="Arial" w:cs="Arial"/>
          <w:sz w:val="20"/>
          <w:szCs w:val="20"/>
          <w:lang w:val="fr-CH"/>
        </w:rPr>
        <w:t>mplissent les quotas prescrits</w:t>
      </w:r>
      <w:r w:rsidR="00F74A81" w:rsidRPr="00F141CA">
        <w:rPr>
          <w:rFonts w:ascii="Arial" w:hAnsi="Arial" w:cs="Arial"/>
          <w:sz w:val="20"/>
          <w:szCs w:val="20"/>
          <w:lang w:val="fr-CH"/>
        </w:rPr>
        <w:t>.</w:t>
      </w:r>
      <w:r w:rsidR="00F74A81" w:rsidRPr="00584E92">
        <w:rPr>
          <w:rStyle w:val="Funotenzeichen"/>
          <w:rFonts w:ascii="Arial" w:hAnsi="Arial" w:cs="Arial"/>
          <w:sz w:val="20"/>
          <w:szCs w:val="20"/>
        </w:rPr>
        <w:footnoteReference w:id="6"/>
      </w:r>
      <w:r w:rsidR="00F74A81" w:rsidRPr="00F141CA">
        <w:rPr>
          <w:rFonts w:ascii="Arial" w:hAnsi="Arial" w:cs="Arial"/>
          <w:sz w:val="20"/>
          <w:szCs w:val="20"/>
          <w:lang w:val="fr-CH"/>
        </w:rPr>
        <w:t xml:space="preserve"> </w:t>
      </w:r>
    </w:p>
    <w:p w:rsidR="00FC775B" w:rsidRPr="001A08C5" w:rsidRDefault="00FC775B" w:rsidP="00584E92">
      <w:pPr>
        <w:spacing w:after="0" w:line="300" w:lineRule="exact"/>
        <w:rPr>
          <w:rFonts w:ascii="Arial" w:hAnsi="Arial" w:cs="Arial"/>
          <w:i/>
          <w:noProof/>
          <w:sz w:val="16"/>
          <w:szCs w:val="16"/>
          <w:lang w:val="fr-CH" w:eastAsia="de-CH"/>
        </w:rPr>
      </w:pPr>
    </w:p>
    <w:p w:rsidR="00FC775B" w:rsidRPr="001A08C5" w:rsidRDefault="00FC775B" w:rsidP="00584E92">
      <w:pPr>
        <w:spacing w:after="0" w:line="300" w:lineRule="exact"/>
        <w:rPr>
          <w:rFonts w:ascii="Arial" w:hAnsi="Arial" w:cs="Arial"/>
          <w:i/>
          <w:noProof/>
          <w:sz w:val="16"/>
          <w:szCs w:val="16"/>
          <w:lang w:val="fr-CH" w:eastAsia="de-CH"/>
        </w:rPr>
      </w:pPr>
    </w:p>
    <w:p w:rsidR="00FC775B" w:rsidRPr="001A08C5" w:rsidRDefault="00FC775B" w:rsidP="00584E92">
      <w:pPr>
        <w:spacing w:after="0" w:line="300" w:lineRule="exact"/>
        <w:rPr>
          <w:rFonts w:ascii="Arial" w:hAnsi="Arial" w:cs="Arial"/>
          <w:i/>
          <w:noProof/>
          <w:sz w:val="16"/>
          <w:szCs w:val="16"/>
          <w:lang w:val="fr-CH" w:eastAsia="de-CH"/>
        </w:rPr>
      </w:pPr>
    </w:p>
    <w:p w:rsidR="00FC775B" w:rsidRPr="001A08C5" w:rsidRDefault="00FC775B" w:rsidP="00584E92">
      <w:pPr>
        <w:spacing w:after="0" w:line="300" w:lineRule="exact"/>
        <w:rPr>
          <w:rFonts w:ascii="Arial" w:hAnsi="Arial" w:cs="Arial"/>
          <w:i/>
          <w:noProof/>
          <w:sz w:val="16"/>
          <w:szCs w:val="16"/>
          <w:lang w:val="fr-CH" w:eastAsia="de-CH"/>
        </w:rPr>
      </w:pPr>
    </w:p>
    <w:p w:rsidR="00FC775B" w:rsidRPr="001A08C5" w:rsidRDefault="00FC775B" w:rsidP="00584E92">
      <w:pPr>
        <w:spacing w:after="0" w:line="300" w:lineRule="exact"/>
        <w:rPr>
          <w:rFonts w:ascii="Arial" w:hAnsi="Arial" w:cs="Arial"/>
          <w:i/>
          <w:noProof/>
          <w:sz w:val="16"/>
          <w:szCs w:val="16"/>
          <w:lang w:val="fr-CH" w:eastAsia="de-CH"/>
        </w:rPr>
      </w:pPr>
    </w:p>
    <w:p w:rsidR="00FC775B" w:rsidRPr="001A08C5" w:rsidRDefault="00FC775B" w:rsidP="00584E92">
      <w:pPr>
        <w:spacing w:after="0" w:line="300" w:lineRule="exact"/>
        <w:rPr>
          <w:rFonts w:ascii="Arial" w:hAnsi="Arial" w:cs="Arial"/>
          <w:i/>
          <w:noProof/>
          <w:sz w:val="16"/>
          <w:szCs w:val="16"/>
          <w:lang w:val="fr-CH" w:eastAsia="de-CH"/>
        </w:rPr>
      </w:pPr>
    </w:p>
    <w:p w:rsidR="009A474F" w:rsidRPr="002F1FF1" w:rsidRDefault="00FC775B" w:rsidP="00584E92">
      <w:pPr>
        <w:spacing w:after="0" w:line="300" w:lineRule="exact"/>
        <w:rPr>
          <w:rFonts w:ascii="Arial" w:hAnsi="Arial" w:cs="Arial"/>
          <w:i/>
          <w:sz w:val="16"/>
          <w:szCs w:val="16"/>
          <w:lang w:val="fr-CH"/>
        </w:rPr>
      </w:pPr>
      <w:r>
        <w:rPr>
          <w:noProof/>
          <w:lang w:eastAsia="de-CH"/>
        </w:rPr>
        <w:drawing>
          <wp:anchor distT="0" distB="0" distL="114300" distR="114300" simplePos="0" relativeHeight="251661312" behindDoc="0" locked="0" layoutInCell="1" allowOverlap="1">
            <wp:simplePos x="0" y="0"/>
            <wp:positionH relativeFrom="margin">
              <wp:align>left</wp:align>
            </wp:positionH>
            <wp:positionV relativeFrom="paragraph">
              <wp:posOffset>4445</wp:posOffset>
            </wp:positionV>
            <wp:extent cx="4743450" cy="2895600"/>
            <wp:effectExtent l="0" t="0" r="0" b="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FC775B">
        <w:rPr>
          <w:rFonts w:ascii="Arial" w:hAnsi="Arial" w:cs="Arial"/>
          <w:i/>
          <w:sz w:val="16"/>
          <w:szCs w:val="16"/>
          <w:lang w:val="fr-CH"/>
        </w:rPr>
        <w:t xml:space="preserve">Graphique 2: </w:t>
      </w:r>
      <w:r>
        <w:rPr>
          <w:rFonts w:ascii="Arial" w:hAnsi="Arial" w:cs="Arial"/>
          <w:i/>
          <w:sz w:val="16"/>
          <w:szCs w:val="16"/>
          <w:lang w:val="fr-CH"/>
        </w:rPr>
        <w:t>Pourcentage des femmes dans la D</w:t>
      </w:r>
      <w:r w:rsidRPr="00FC775B">
        <w:rPr>
          <w:rFonts w:ascii="Arial" w:hAnsi="Arial" w:cs="Arial"/>
          <w:i/>
          <w:sz w:val="16"/>
          <w:szCs w:val="16"/>
          <w:lang w:val="fr-CH"/>
        </w:rPr>
        <w:t>ire</w:t>
      </w:r>
      <w:r>
        <w:rPr>
          <w:rFonts w:ascii="Arial" w:hAnsi="Arial" w:cs="Arial"/>
          <w:i/>
          <w:sz w:val="16"/>
          <w:szCs w:val="16"/>
          <w:lang w:val="fr-CH"/>
        </w:rPr>
        <w:t>ction de l’entreprise et le Conseil d’administration</w:t>
      </w:r>
      <w:r w:rsidR="002F1FF1">
        <w:rPr>
          <w:rFonts w:ascii="Arial" w:hAnsi="Arial" w:cs="Arial"/>
          <w:i/>
          <w:sz w:val="16"/>
          <w:szCs w:val="16"/>
          <w:lang w:val="fr-CH"/>
        </w:rPr>
        <w:t xml:space="preserve">. Source : Credit Suisse </w:t>
      </w:r>
      <w:proofErr w:type="spellStart"/>
      <w:r w:rsidR="002F1FF1">
        <w:rPr>
          <w:rFonts w:ascii="Arial" w:hAnsi="Arial" w:cs="Arial"/>
          <w:i/>
          <w:sz w:val="16"/>
          <w:szCs w:val="16"/>
          <w:lang w:val="fr-CH"/>
        </w:rPr>
        <w:t>Research</w:t>
      </w:r>
      <w:proofErr w:type="spellEnd"/>
      <w:r w:rsidR="002F1FF1">
        <w:rPr>
          <w:rFonts w:ascii="Arial" w:hAnsi="Arial" w:cs="Arial"/>
          <w:i/>
          <w:sz w:val="16"/>
          <w:szCs w:val="16"/>
          <w:lang w:val="fr-CH"/>
        </w:rPr>
        <w:t xml:space="preserve"> 2016</w:t>
      </w:r>
    </w:p>
    <w:p w:rsidR="00584E92" w:rsidRPr="00FC775B" w:rsidRDefault="00584E92" w:rsidP="00584E92">
      <w:pPr>
        <w:spacing w:after="0" w:line="300" w:lineRule="exact"/>
        <w:rPr>
          <w:rFonts w:ascii="Arial" w:hAnsi="Arial" w:cs="Arial"/>
          <w:b/>
          <w:sz w:val="20"/>
          <w:szCs w:val="20"/>
          <w:lang w:val="fr-CH"/>
        </w:rPr>
      </w:pPr>
    </w:p>
    <w:p w:rsidR="00584E92" w:rsidRPr="00FC775B" w:rsidRDefault="00584E92" w:rsidP="00584E92">
      <w:pPr>
        <w:spacing w:after="0" w:line="300" w:lineRule="exact"/>
        <w:rPr>
          <w:rFonts w:ascii="Arial" w:hAnsi="Arial" w:cs="Arial"/>
          <w:b/>
          <w:sz w:val="20"/>
          <w:szCs w:val="20"/>
          <w:lang w:val="fr-CH"/>
        </w:rPr>
      </w:pPr>
    </w:p>
    <w:p w:rsidR="00014770" w:rsidRPr="00D379A1" w:rsidRDefault="00D379A1" w:rsidP="00584E92">
      <w:pPr>
        <w:spacing w:after="0" w:line="300" w:lineRule="exact"/>
        <w:rPr>
          <w:rFonts w:ascii="Arial" w:hAnsi="Arial" w:cs="Arial"/>
          <w:b/>
          <w:sz w:val="20"/>
          <w:szCs w:val="20"/>
          <w:lang w:val="fr-CH"/>
        </w:rPr>
      </w:pPr>
      <w:r w:rsidRPr="00D379A1">
        <w:rPr>
          <w:rFonts w:ascii="Arial" w:hAnsi="Arial" w:cs="Arial"/>
          <w:b/>
          <w:sz w:val="20"/>
          <w:szCs w:val="20"/>
          <w:lang w:val="fr-CH"/>
        </w:rPr>
        <w:t>Des quotas doivent aussi devenir réalité en Suisse</w:t>
      </w:r>
    </w:p>
    <w:p w:rsidR="00584E92" w:rsidRPr="00D379A1" w:rsidRDefault="00584E92" w:rsidP="00584E92">
      <w:pPr>
        <w:spacing w:after="0" w:line="300" w:lineRule="exact"/>
        <w:rPr>
          <w:rFonts w:ascii="Arial" w:hAnsi="Arial" w:cs="Arial"/>
          <w:sz w:val="20"/>
          <w:szCs w:val="20"/>
          <w:lang w:val="fr-CH"/>
        </w:rPr>
      </w:pPr>
    </w:p>
    <w:p w:rsidR="00014770" w:rsidRPr="005F104D" w:rsidRDefault="00D379A1" w:rsidP="00584E92">
      <w:pPr>
        <w:spacing w:after="0" w:line="300" w:lineRule="exact"/>
        <w:rPr>
          <w:rFonts w:ascii="Arial" w:hAnsi="Arial" w:cs="Arial"/>
          <w:sz w:val="20"/>
          <w:szCs w:val="20"/>
          <w:lang w:val="fr-CH"/>
        </w:rPr>
      </w:pPr>
      <w:r w:rsidRPr="00FF54A9">
        <w:rPr>
          <w:rFonts w:ascii="Arial" w:hAnsi="Arial" w:cs="Arial"/>
          <w:sz w:val="20"/>
          <w:szCs w:val="20"/>
          <w:lang w:val="fr-CH"/>
        </w:rPr>
        <w:t>Dans le cadre de la révision</w:t>
      </w:r>
      <w:r w:rsidR="00321D24">
        <w:rPr>
          <w:rFonts w:ascii="Arial" w:hAnsi="Arial" w:cs="Arial"/>
          <w:sz w:val="20"/>
          <w:szCs w:val="20"/>
          <w:lang w:val="fr-CH"/>
        </w:rPr>
        <w:t xml:space="preserve"> du droit</w:t>
      </w:r>
      <w:r w:rsidRPr="00FF54A9">
        <w:rPr>
          <w:rFonts w:ascii="Arial" w:hAnsi="Arial" w:cs="Arial"/>
          <w:sz w:val="20"/>
          <w:szCs w:val="20"/>
          <w:lang w:val="fr-CH"/>
        </w:rPr>
        <w:t xml:space="preserve"> de la société anonyme</w:t>
      </w:r>
      <w:r w:rsidR="00014770" w:rsidRPr="00FF54A9">
        <w:rPr>
          <w:rFonts w:ascii="Arial" w:hAnsi="Arial" w:cs="Arial"/>
          <w:sz w:val="20"/>
          <w:szCs w:val="20"/>
          <w:lang w:val="fr-CH"/>
        </w:rPr>
        <w:t xml:space="preserve">, </w:t>
      </w:r>
      <w:r w:rsidR="00CA7EB9">
        <w:rPr>
          <w:rFonts w:ascii="Arial" w:hAnsi="Arial" w:cs="Arial"/>
          <w:sz w:val="20"/>
          <w:szCs w:val="20"/>
          <w:lang w:val="fr-CH"/>
        </w:rPr>
        <w:t>bientôt traitée au Parlement, le Conseil fédéral propose un quota</w:t>
      </w:r>
      <w:r w:rsidR="008A02F3">
        <w:rPr>
          <w:rFonts w:ascii="Arial" w:hAnsi="Arial" w:cs="Arial"/>
          <w:sz w:val="20"/>
          <w:szCs w:val="20"/>
          <w:lang w:val="fr-CH"/>
        </w:rPr>
        <w:t xml:space="preserve"> de femmes</w:t>
      </w:r>
      <w:r w:rsidR="00CA7EB9">
        <w:rPr>
          <w:rFonts w:ascii="Arial" w:hAnsi="Arial" w:cs="Arial"/>
          <w:sz w:val="20"/>
          <w:szCs w:val="20"/>
          <w:lang w:val="fr-CH"/>
        </w:rPr>
        <w:t xml:space="preserve"> de 30 pourcent dans les conseils d’administration et</w:t>
      </w:r>
      <w:r w:rsidR="008A02F3">
        <w:rPr>
          <w:rFonts w:ascii="Arial" w:hAnsi="Arial" w:cs="Arial"/>
          <w:sz w:val="20"/>
          <w:szCs w:val="20"/>
          <w:lang w:val="fr-CH"/>
        </w:rPr>
        <w:t xml:space="preserve"> de</w:t>
      </w:r>
      <w:r w:rsidR="00CA7EB9">
        <w:rPr>
          <w:rFonts w:ascii="Arial" w:hAnsi="Arial" w:cs="Arial"/>
          <w:sz w:val="20"/>
          <w:szCs w:val="20"/>
          <w:lang w:val="fr-CH"/>
        </w:rPr>
        <w:t xml:space="preserve"> 20 pourcent dans les directions des entreprises cotées à la bourse. Il n’y a pas de mécanismes de contrôle éprouvés et d</w:t>
      </w:r>
      <w:r w:rsidR="005F104D">
        <w:rPr>
          <w:rFonts w:ascii="Arial" w:hAnsi="Arial" w:cs="Arial"/>
          <w:sz w:val="20"/>
          <w:szCs w:val="20"/>
          <w:lang w:val="fr-CH"/>
        </w:rPr>
        <w:t>e sanctions, revendiqués préalablement par</w:t>
      </w:r>
      <w:r w:rsidR="008A02F3">
        <w:rPr>
          <w:rFonts w:ascii="Arial" w:hAnsi="Arial" w:cs="Arial"/>
          <w:sz w:val="20"/>
          <w:szCs w:val="20"/>
          <w:lang w:val="fr-CH"/>
        </w:rPr>
        <w:t xml:space="preserve"> Travail.Suisse.  En cas de non-</w:t>
      </w:r>
      <w:r w:rsidR="005F104D">
        <w:rPr>
          <w:rFonts w:ascii="Arial" w:hAnsi="Arial" w:cs="Arial"/>
          <w:sz w:val="20"/>
          <w:szCs w:val="20"/>
          <w:lang w:val="fr-CH"/>
        </w:rPr>
        <w:t>respect des quotas, les entreprises seraient simplement obligées de se déclarer selon le principe « </w:t>
      </w:r>
      <w:proofErr w:type="spellStart"/>
      <w:r w:rsidR="005F104D">
        <w:rPr>
          <w:rFonts w:ascii="Arial" w:hAnsi="Arial" w:cs="Arial"/>
          <w:sz w:val="20"/>
          <w:szCs w:val="20"/>
          <w:lang w:val="fr-CH"/>
        </w:rPr>
        <w:t>comply</w:t>
      </w:r>
      <w:proofErr w:type="spellEnd"/>
      <w:r w:rsidR="005F104D">
        <w:rPr>
          <w:rFonts w:ascii="Arial" w:hAnsi="Arial" w:cs="Arial"/>
          <w:sz w:val="20"/>
          <w:szCs w:val="20"/>
          <w:lang w:val="fr-CH"/>
        </w:rPr>
        <w:t xml:space="preserve"> or </w:t>
      </w:r>
      <w:proofErr w:type="spellStart"/>
      <w:r w:rsidR="005F104D">
        <w:rPr>
          <w:rFonts w:ascii="Arial" w:hAnsi="Arial" w:cs="Arial"/>
          <w:sz w:val="20"/>
          <w:szCs w:val="20"/>
          <w:lang w:val="fr-CH"/>
        </w:rPr>
        <w:t>expl</w:t>
      </w:r>
      <w:r w:rsidR="008A02F3">
        <w:rPr>
          <w:rFonts w:ascii="Arial" w:hAnsi="Arial" w:cs="Arial"/>
          <w:sz w:val="20"/>
          <w:szCs w:val="20"/>
          <w:lang w:val="fr-CH"/>
        </w:rPr>
        <w:t>ain</w:t>
      </w:r>
      <w:proofErr w:type="spellEnd"/>
      <w:r w:rsidR="008A02F3">
        <w:rPr>
          <w:rFonts w:ascii="Arial" w:hAnsi="Arial" w:cs="Arial"/>
          <w:sz w:val="20"/>
          <w:szCs w:val="20"/>
          <w:lang w:val="fr-CH"/>
        </w:rPr>
        <w:t> ». Même si ce projet,</w:t>
      </w:r>
      <w:r w:rsidR="005F104D">
        <w:rPr>
          <w:rFonts w:ascii="Arial" w:hAnsi="Arial" w:cs="Arial"/>
          <w:sz w:val="20"/>
          <w:szCs w:val="20"/>
          <w:lang w:val="fr-CH"/>
        </w:rPr>
        <w:t xml:space="preserve"> sans possibilité de sanctions concrètes</w:t>
      </w:r>
      <w:r w:rsidR="008A02F3">
        <w:rPr>
          <w:rFonts w:ascii="Arial" w:hAnsi="Arial" w:cs="Arial"/>
          <w:sz w:val="20"/>
          <w:szCs w:val="20"/>
          <w:lang w:val="fr-CH"/>
        </w:rPr>
        <w:t>, paraît être un peu un tigre de papier</w:t>
      </w:r>
      <w:r w:rsidR="005F104D">
        <w:rPr>
          <w:rFonts w:ascii="Arial" w:hAnsi="Arial" w:cs="Arial"/>
          <w:sz w:val="20"/>
          <w:szCs w:val="20"/>
          <w:lang w:val="fr-CH"/>
        </w:rPr>
        <w:t>, il représente cependant un pas dans la bonne direction au vu du très grand besoin de rattrapage de la Suisse.  Le projet n’est pas seulement soutenu par la gauche. Des experts de droit</w:t>
      </w:r>
      <w:r w:rsidR="008A02F3">
        <w:rPr>
          <w:rFonts w:ascii="Arial" w:hAnsi="Arial" w:cs="Arial"/>
          <w:sz w:val="20"/>
          <w:szCs w:val="20"/>
          <w:lang w:val="fr-CH"/>
        </w:rPr>
        <w:t>e reconnaissent</w:t>
      </w:r>
      <w:r w:rsidR="005F104D">
        <w:rPr>
          <w:rFonts w:ascii="Arial" w:hAnsi="Arial" w:cs="Arial"/>
          <w:sz w:val="20"/>
          <w:szCs w:val="20"/>
          <w:lang w:val="fr-CH"/>
        </w:rPr>
        <w:t xml:space="preserve"> aussi que</w:t>
      </w:r>
      <w:r w:rsidR="008A02F3">
        <w:rPr>
          <w:rFonts w:ascii="Arial" w:hAnsi="Arial" w:cs="Arial"/>
          <w:sz w:val="20"/>
          <w:szCs w:val="20"/>
          <w:lang w:val="fr-CH"/>
        </w:rPr>
        <w:t>,</w:t>
      </w:r>
      <w:r w:rsidR="005F104D">
        <w:rPr>
          <w:rFonts w:ascii="Arial" w:hAnsi="Arial" w:cs="Arial"/>
          <w:sz w:val="20"/>
          <w:szCs w:val="20"/>
          <w:lang w:val="fr-CH"/>
        </w:rPr>
        <w:t xml:space="preserve"> dans le cadre du mandat constituti</w:t>
      </w:r>
      <w:r w:rsidR="008A02F3">
        <w:rPr>
          <w:rFonts w:ascii="Arial" w:hAnsi="Arial" w:cs="Arial"/>
          <w:sz w:val="20"/>
          <w:szCs w:val="20"/>
          <w:lang w:val="fr-CH"/>
        </w:rPr>
        <w:t>onnel de l’égalité, il faut</w:t>
      </w:r>
      <w:r w:rsidR="005F104D">
        <w:rPr>
          <w:rFonts w:ascii="Arial" w:hAnsi="Arial" w:cs="Arial"/>
          <w:sz w:val="20"/>
          <w:szCs w:val="20"/>
          <w:lang w:val="fr-CH"/>
        </w:rPr>
        <w:t xml:space="preserve"> faire quelque-chose et s’expriment en faveur de l’introduction d’un quota</w:t>
      </w:r>
      <w:r w:rsidR="008A02F3">
        <w:rPr>
          <w:rFonts w:ascii="Arial" w:hAnsi="Arial" w:cs="Arial"/>
          <w:sz w:val="20"/>
          <w:szCs w:val="20"/>
          <w:lang w:val="fr-CH"/>
        </w:rPr>
        <w:t xml:space="preserve"> de femmes</w:t>
      </w:r>
      <w:r w:rsidR="005F104D">
        <w:rPr>
          <w:rFonts w:ascii="Arial" w:hAnsi="Arial" w:cs="Arial"/>
          <w:sz w:val="20"/>
          <w:szCs w:val="20"/>
          <w:lang w:val="fr-CH"/>
        </w:rPr>
        <w:t xml:space="preserve"> dans la révisio</w:t>
      </w:r>
      <w:r w:rsidR="008A02F3">
        <w:rPr>
          <w:rFonts w:ascii="Arial" w:hAnsi="Arial" w:cs="Arial"/>
          <w:sz w:val="20"/>
          <w:szCs w:val="20"/>
          <w:lang w:val="fr-CH"/>
        </w:rPr>
        <w:t>n en cours du</w:t>
      </w:r>
      <w:r w:rsidR="005F104D">
        <w:rPr>
          <w:rFonts w:ascii="Arial" w:hAnsi="Arial" w:cs="Arial"/>
          <w:sz w:val="20"/>
          <w:szCs w:val="20"/>
          <w:lang w:val="fr-CH"/>
        </w:rPr>
        <w:t xml:space="preserve"> droit de la société anonyme</w:t>
      </w:r>
      <w:r w:rsidR="00DB7DED" w:rsidRPr="005F104D">
        <w:rPr>
          <w:rFonts w:ascii="Arial" w:hAnsi="Arial" w:cs="Arial"/>
          <w:sz w:val="20"/>
          <w:szCs w:val="20"/>
          <w:lang w:val="fr-CH"/>
        </w:rPr>
        <w:t>.</w:t>
      </w:r>
      <w:r w:rsidR="00AF3176" w:rsidRPr="00584E92">
        <w:rPr>
          <w:rStyle w:val="Funotenzeichen"/>
          <w:rFonts w:ascii="Arial" w:hAnsi="Arial" w:cs="Arial"/>
          <w:sz w:val="20"/>
          <w:szCs w:val="20"/>
        </w:rPr>
        <w:footnoteReference w:id="7"/>
      </w:r>
      <w:r w:rsidR="00DB7DED" w:rsidRPr="005F104D">
        <w:rPr>
          <w:rFonts w:ascii="Arial" w:hAnsi="Arial" w:cs="Arial"/>
          <w:sz w:val="20"/>
          <w:szCs w:val="20"/>
          <w:lang w:val="fr-CH"/>
        </w:rPr>
        <w:t xml:space="preserve"> </w:t>
      </w:r>
    </w:p>
    <w:p w:rsidR="00584E92" w:rsidRPr="005F104D" w:rsidRDefault="00584E92" w:rsidP="00584E92">
      <w:pPr>
        <w:spacing w:after="0" w:line="300" w:lineRule="exact"/>
        <w:rPr>
          <w:rFonts w:ascii="Arial" w:hAnsi="Arial" w:cs="Arial"/>
          <w:sz w:val="20"/>
          <w:szCs w:val="20"/>
          <w:lang w:val="fr-CH"/>
        </w:rPr>
      </w:pPr>
    </w:p>
    <w:p w:rsidR="00EC12B0" w:rsidRPr="002636E4" w:rsidRDefault="005F104D" w:rsidP="00584E92">
      <w:pPr>
        <w:spacing w:after="0" w:line="300" w:lineRule="exact"/>
        <w:rPr>
          <w:rFonts w:ascii="Arial" w:hAnsi="Arial" w:cs="Arial"/>
          <w:sz w:val="20"/>
          <w:szCs w:val="20"/>
          <w:lang w:val="fr-CH"/>
        </w:rPr>
      </w:pPr>
      <w:r w:rsidRPr="002636E4">
        <w:rPr>
          <w:rFonts w:ascii="Arial" w:hAnsi="Arial" w:cs="Arial"/>
          <w:sz w:val="20"/>
          <w:szCs w:val="20"/>
          <w:lang w:val="fr-CH"/>
        </w:rPr>
        <w:t>Travail.Suisse soutient le projet</w:t>
      </w:r>
      <w:r w:rsidR="008377E6" w:rsidRPr="002636E4">
        <w:rPr>
          <w:rFonts w:ascii="Arial" w:hAnsi="Arial" w:cs="Arial"/>
          <w:sz w:val="20"/>
          <w:szCs w:val="20"/>
          <w:lang w:val="fr-CH"/>
        </w:rPr>
        <w:t xml:space="preserve"> </w:t>
      </w:r>
      <w:r w:rsidR="002636E4" w:rsidRPr="002636E4">
        <w:rPr>
          <w:rFonts w:ascii="Arial" w:hAnsi="Arial" w:cs="Arial"/>
          <w:sz w:val="20"/>
          <w:szCs w:val="20"/>
          <w:lang w:val="fr-CH"/>
        </w:rPr>
        <w:t xml:space="preserve"> comme pas important bien qu’hésitant vers un rapport équilibré des sexes dans les positions dirigeantes. </w:t>
      </w:r>
      <w:r w:rsidR="002636E4">
        <w:rPr>
          <w:rFonts w:ascii="Arial" w:hAnsi="Arial" w:cs="Arial"/>
          <w:sz w:val="20"/>
          <w:szCs w:val="20"/>
          <w:lang w:val="fr-CH"/>
        </w:rPr>
        <w:t xml:space="preserve"> L’époque</w:t>
      </w:r>
      <w:r w:rsidR="008A02F3">
        <w:rPr>
          <w:rFonts w:ascii="Arial" w:hAnsi="Arial" w:cs="Arial"/>
          <w:sz w:val="20"/>
          <w:szCs w:val="20"/>
          <w:lang w:val="fr-CH"/>
        </w:rPr>
        <w:t>,</w:t>
      </w:r>
      <w:r w:rsidR="002636E4">
        <w:rPr>
          <w:rFonts w:ascii="Arial" w:hAnsi="Arial" w:cs="Arial"/>
          <w:sz w:val="20"/>
          <w:szCs w:val="20"/>
          <w:lang w:val="fr-CH"/>
        </w:rPr>
        <w:t xml:space="preserve"> où une grande partie d</w:t>
      </w:r>
      <w:bookmarkStart w:id="0" w:name="_GoBack"/>
      <w:bookmarkEnd w:id="0"/>
      <w:r w:rsidR="002636E4">
        <w:rPr>
          <w:rFonts w:ascii="Arial" w:hAnsi="Arial" w:cs="Arial"/>
          <w:sz w:val="20"/>
          <w:szCs w:val="20"/>
          <w:lang w:val="fr-CH"/>
        </w:rPr>
        <w:t>es entreprises demeure purement en mains masculines</w:t>
      </w:r>
      <w:r w:rsidR="008A02F3">
        <w:rPr>
          <w:rFonts w:ascii="Arial" w:hAnsi="Arial" w:cs="Arial"/>
          <w:sz w:val="20"/>
          <w:szCs w:val="20"/>
          <w:lang w:val="fr-CH"/>
        </w:rPr>
        <w:t>, devrait enfin appartenir au</w:t>
      </w:r>
      <w:r w:rsidR="002636E4">
        <w:rPr>
          <w:rFonts w:ascii="Arial" w:hAnsi="Arial" w:cs="Arial"/>
          <w:sz w:val="20"/>
          <w:szCs w:val="20"/>
          <w:lang w:val="fr-CH"/>
        </w:rPr>
        <w:t xml:space="preserve"> passé. L’exemple du canton de </w:t>
      </w:r>
      <w:proofErr w:type="spellStart"/>
      <w:r w:rsidR="002636E4">
        <w:rPr>
          <w:rFonts w:ascii="Arial" w:hAnsi="Arial" w:cs="Arial"/>
          <w:sz w:val="20"/>
          <w:szCs w:val="20"/>
          <w:lang w:val="fr-CH"/>
        </w:rPr>
        <w:t>Bâle-ville</w:t>
      </w:r>
      <w:proofErr w:type="spellEnd"/>
      <w:r w:rsidR="002636E4">
        <w:rPr>
          <w:rFonts w:ascii="Arial" w:hAnsi="Arial" w:cs="Arial"/>
          <w:sz w:val="20"/>
          <w:szCs w:val="20"/>
          <w:lang w:val="fr-CH"/>
        </w:rPr>
        <w:t xml:space="preserve"> montre que c’est possible : en seulement une année, on </w:t>
      </w:r>
      <w:r w:rsidR="002636E4">
        <w:rPr>
          <w:rFonts w:ascii="Arial" w:hAnsi="Arial" w:cs="Arial"/>
          <w:sz w:val="20"/>
          <w:szCs w:val="20"/>
          <w:lang w:val="fr-CH"/>
        </w:rPr>
        <w:lastRenderedPageBreak/>
        <w:t>a atteint en ville de Bâle un quota de femmes de 33 pourcent dans les entreprises publiques ou par</w:t>
      </w:r>
      <w:r w:rsidR="008A02F3">
        <w:rPr>
          <w:rFonts w:ascii="Arial" w:hAnsi="Arial" w:cs="Arial"/>
          <w:sz w:val="20"/>
          <w:szCs w:val="20"/>
          <w:lang w:val="fr-CH"/>
        </w:rPr>
        <w:t>apubliques. Cet exemple, ainsi que</w:t>
      </w:r>
      <w:r w:rsidR="002636E4">
        <w:rPr>
          <w:rFonts w:ascii="Arial" w:hAnsi="Arial" w:cs="Arial"/>
          <w:sz w:val="20"/>
          <w:szCs w:val="20"/>
          <w:lang w:val="fr-CH"/>
        </w:rPr>
        <w:t xml:space="preserve"> celui de l’</w:t>
      </w:r>
      <w:r w:rsidR="008A02F3">
        <w:rPr>
          <w:rFonts w:ascii="Arial" w:hAnsi="Arial" w:cs="Arial"/>
          <w:sz w:val="20"/>
          <w:szCs w:val="20"/>
          <w:lang w:val="fr-CH"/>
        </w:rPr>
        <w:t>Allemagne,</w:t>
      </w:r>
      <w:r w:rsidR="001575F9">
        <w:rPr>
          <w:rFonts w:ascii="Arial" w:hAnsi="Arial" w:cs="Arial"/>
          <w:sz w:val="20"/>
          <w:szCs w:val="20"/>
          <w:lang w:val="fr-CH"/>
        </w:rPr>
        <w:t xml:space="preserve"> montre</w:t>
      </w:r>
      <w:r w:rsidR="008A02F3">
        <w:rPr>
          <w:rFonts w:ascii="Arial" w:hAnsi="Arial" w:cs="Arial"/>
          <w:sz w:val="20"/>
          <w:szCs w:val="20"/>
          <w:lang w:val="fr-CH"/>
        </w:rPr>
        <w:t>nt</w:t>
      </w:r>
      <w:r w:rsidR="001575F9">
        <w:rPr>
          <w:rFonts w:ascii="Arial" w:hAnsi="Arial" w:cs="Arial"/>
          <w:sz w:val="20"/>
          <w:szCs w:val="20"/>
          <w:lang w:val="fr-CH"/>
        </w:rPr>
        <w:t xml:space="preserve"> clairement que l’introduction de quotas peut faire bouger les choses et ce qu’il faut faire maintenant en Suisse pour parvenir à l’objectif d’une meilleure représentation des femmes dans l’économie.</w:t>
      </w:r>
    </w:p>
    <w:p w:rsidR="00584E92" w:rsidRPr="002636E4" w:rsidRDefault="00584E92" w:rsidP="00584E92">
      <w:pPr>
        <w:spacing w:after="0" w:line="300" w:lineRule="exact"/>
        <w:rPr>
          <w:rFonts w:ascii="Arial" w:hAnsi="Arial" w:cs="Arial"/>
          <w:sz w:val="20"/>
          <w:szCs w:val="20"/>
          <w:lang w:val="fr-CH"/>
        </w:rPr>
      </w:pPr>
    </w:p>
    <w:p w:rsidR="009A474F" w:rsidRPr="002636E4" w:rsidRDefault="009A474F" w:rsidP="00584E92">
      <w:pPr>
        <w:spacing w:after="0" w:line="300" w:lineRule="exact"/>
        <w:rPr>
          <w:rFonts w:ascii="Arial" w:hAnsi="Arial" w:cs="Arial"/>
          <w:sz w:val="20"/>
          <w:szCs w:val="20"/>
          <w:lang w:val="fr-CH"/>
        </w:rPr>
      </w:pPr>
    </w:p>
    <w:p w:rsidR="00584E92" w:rsidRPr="005A7A27" w:rsidRDefault="00584E92" w:rsidP="00584E92">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9A474F" w:rsidRPr="00584E92" w:rsidRDefault="001A08C5" w:rsidP="00584E92">
      <w:pPr>
        <w:spacing w:after="0" w:line="300" w:lineRule="exact"/>
        <w:jc w:val="center"/>
        <w:rPr>
          <w:rFonts w:ascii="Arial" w:hAnsi="Arial"/>
          <w:sz w:val="20"/>
          <w:szCs w:val="20"/>
        </w:rPr>
      </w:pPr>
      <w:hyperlink r:id="rId9" w:history="1">
        <w:r w:rsidR="00584E92" w:rsidRPr="009E73CE">
          <w:rPr>
            <w:rStyle w:val="Hyperlink"/>
            <w:rFonts w:ascii="Arial" w:hAnsi="Arial"/>
            <w:sz w:val="20"/>
            <w:szCs w:val="20"/>
          </w:rPr>
          <w:t>www.travailsuisse.ch</w:t>
        </w:r>
      </w:hyperlink>
    </w:p>
    <w:p w:rsidR="00584E92" w:rsidRPr="00584E92" w:rsidRDefault="00584E92">
      <w:pPr>
        <w:spacing w:after="0" w:line="300" w:lineRule="exact"/>
        <w:rPr>
          <w:rFonts w:ascii="Arial" w:hAnsi="Arial" w:cs="Arial"/>
          <w:sz w:val="20"/>
          <w:szCs w:val="20"/>
        </w:rPr>
      </w:pPr>
    </w:p>
    <w:sectPr w:rsidR="00584E92" w:rsidRPr="00584E92" w:rsidSect="00584E92">
      <w:pgSz w:w="11906" w:h="16838"/>
      <w:pgMar w:top="1418" w:right="1134" w:bottom="964"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76" w:rsidRDefault="00E24F76" w:rsidP="00881E64">
      <w:pPr>
        <w:spacing w:after="0" w:line="240" w:lineRule="auto"/>
      </w:pPr>
      <w:r>
        <w:separator/>
      </w:r>
    </w:p>
  </w:endnote>
  <w:endnote w:type="continuationSeparator" w:id="0">
    <w:p w:rsidR="00E24F76" w:rsidRDefault="00E24F76" w:rsidP="0088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76" w:rsidRDefault="00E24F76" w:rsidP="00881E64">
      <w:pPr>
        <w:spacing w:after="0" w:line="240" w:lineRule="auto"/>
      </w:pPr>
      <w:r>
        <w:separator/>
      </w:r>
    </w:p>
  </w:footnote>
  <w:footnote w:type="continuationSeparator" w:id="0">
    <w:p w:rsidR="00E24F76" w:rsidRDefault="00E24F76" w:rsidP="00881E64">
      <w:pPr>
        <w:spacing w:after="0" w:line="240" w:lineRule="auto"/>
      </w:pPr>
      <w:r>
        <w:continuationSeparator/>
      </w:r>
    </w:p>
  </w:footnote>
  <w:footnote w:id="1">
    <w:p w:rsidR="006A2A31" w:rsidRPr="00584E92" w:rsidRDefault="006A2A31" w:rsidP="00584E92">
      <w:pPr>
        <w:pStyle w:val="Funotentext"/>
        <w:ind w:left="142" w:hanging="142"/>
        <w:rPr>
          <w:rFonts w:ascii="Arial" w:hAnsi="Arial" w:cs="Arial"/>
          <w:sz w:val="16"/>
          <w:szCs w:val="16"/>
        </w:rPr>
      </w:pPr>
      <w:r w:rsidRPr="00584E92">
        <w:rPr>
          <w:rStyle w:val="Funotenzeichen"/>
          <w:rFonts w:ascii="Arial" w:hAnsi="Arial" w:cs="Arial"/>
          <w:sz w:val="16"/>
          <w:szCs w:val="16"/>
        </w:rPr>
        <w:footnoteRef/>
      </w:r>
      <w:r w:rsidRPr="00584E92">
        <w:rPr>
          <w:rFonts w:ascii="Arial" w:hAnsi="Arial" w:cs="Arial"/>
          <w:sz w:val="16"/>
          <w:szCs w:val="16"/>
        </w:rPr>
        <w:t xml:space="preserve"> Schillingreport 2017 (Medienmitteilung): http://www.schillingreport.ch/de/home</w:t>
      </w:r>
    </w:p>
  </w:footnote>
  <w:footnote w:id="2">
    <w:p w:rsidR="003F4D58" w:rsidRPr="00584E92" w:rsidRDefault="003F4D58" w:rsidP="00584E92">
      <w:pPr>
        <w:pStyle w:val="Funotentext"/>
        <w:ind w:left="142" w:hanging="142"/>
        <w:rPr>
          <w:rFonts w:ascii="Arial" w:hAnsi="Arial" w:cs="Arial"/>
          <w:sz w:val="16"/>
          <w:szCs w:val="16"/>
        </w:rPr>
      </w:pPr>
      <w:r w:rsidRPr="00584E92">
        <w:rPr>
          <w:rStyle w:val="Funotenzeichen"/>
          <w:rFonts w:ascii="Arial" w:hAnsi="Arial" w:cs="Arial"/>
          <w:sz w:val="16"/>
          <w:szCs w:val="16"/>
        </w:rPr>
        <w:footnoteRef/>
      </w:r>
      <w:r w:rsidRPr="00584E92">
        <w:rPr>
          <w:rFonts w:ascii="Arial" w:hAnsi="Arial" w:cs="Arial"/>
          <w:sz w:val="16"/>
          <w:szCs w:val="16"/>
        </w:rPr>
        <w:t xml:space="preserve"> PIIE (2016): https://piie.com/publications/working-papers/gender-diversity-profitable-evidence-global-survey</w:t>
      </w:r>
    </w:p>
  </w:footnote>
  <w:footnote w:id="3">
    <w:p w:rsidR="009B667E" w:rsidRPr="00584E92" w:rsidRDefault="009B667E" w:rsidP="00584E92">
      <w:pPr>
        <w:pStyle w:val="Funotentext"/>
        <w:ind w:left="142" w:hanging="142"/>
        <w:rPr>
          <w:rFonts w:ascii="Arial" w:hAnsi="Arial" w:cs="Arial"/>
          <w:sz w:val="16"/>
          <w:szCs w:val="16"/>
        </w:rPr>
      </w:pPr>
      <w:r w:rsidRPr="00584E92">
        <w:rPr>
          <w:rStyle w:val="Funotenzeichen"/>
          <w:rFonts w:ascii="Arial" w:hAnsi="Arial" w:cs="Arial"/>
          <w:sz w:val="16"/>
          <w:szCs w:val="16"/>
        </w:rPr>
        <w:footnoteRef/>
      </w:r>
      <w:r w:rsidRPr="00584E92">
        <w:rPr>
          <w:rFonts w:ascii="Arial" w:hAnsi="Arial" w:cs="Arial"/>
          <w:sz w:val="16"/>
          <w:szCs w:val="16"/>
        </w:rPr>
        <w:t xml:space="preserve"> Schillingreport 2017 (Medienmitteilung): http://www.schillingreport.ch/de/home</w:t>
      </w:r>
    </w:p>
  </w:footnote>
  <w:footnote w:id="4">
    <w:p w:rsidR="009B667E" w:rsidRPr="00584E92" w:rsidRDefault="009B667E" w:rsidP="00584E92">
      <w:pPr>
        <w:pStyle w:val="Funotentext"/>
        <w:ind w:left="142" w:hanging="142"/>
        <w:rPr>
          <w:rFonts w:ascii="Arial" w:hAnsi="Arial" w:cs="Arial"/>
          <w:sz w:val="16"/>
          <w:szCs w:val="16"/>
          <w:lang w:val="fr-CH"/>
        </w:rPr>
      </w:pPr>
      <w:r w:rsidRPr="00584E92">
        <w:rPr>
          <w:rStyle w:val="Funotenzeichen"/>
          <w:rFonts w:ascii="Arial" w:hAnsi="Arial" w:cs="Arial"/>
          <w:sz w:val="16"/>
          <w:szCs w:val="16"/>
        </w:rPr>
        <w:footnoteRef/>
      </w:r>
      <w:r w:rsidRPr="00584E92">
        <w:rPr>
          <w:rFonts w:ascii="Arial" w:hAnsi="Arial" w:cs="Arial"/>
          <w:sz w:val="16"/>
          <w:szCs w:val="16"/>
          <w:lang w:val="fr-CH"/>
        </w:rPr>
        <w:t xml:space="preserve"> Credit Suisse </w:t>
      </w:r>
      <w:proofErr w:type="spellStart"/>
      <w:r w:rsidRPr="00584E92">
        <w:rPr>
          <w:rFonts w:ascii="Arial" w:hAnsi="Arial" w:cs="Arial"/>
          <w:sz w:val="16"/>
          <w:szCs w:val="16"/>
          <w:lang w:val="fr-CH"/>
        </w:rPr>
        <w:t>Research</w:t>
      </w:r>
      <w:proofErr w:type="spellEnd"/>
      <w:r w:rsidRPr="00584E92">
        <w:rPr>
          <w:rFonts w:ascii="Arial" w:hAnsi="Arial" w:cs="Arial"/>
          <w:sz w:val="16"/>
          <w:szCs w:val="16"/>
          <w:lang w:val="fr-CH"/>
        </w:rPr>
        <w:t xml:space="preserve"> (2016): https://www.credit-suisse.com/ch/de/about-us/media/news/articles/media-releases/2016/10/de/gender-3000.html</w:t>
      </w:r>
    </w:p>
  </w:footnote>
  <w:footnote w:id="5">
    <w:p w:rsidR="00BB6308" w:rsidRPr="00D00E84" w:rsidRDefault="00BB6308" w:rsidP="00584E92">
      <w:pPr>
        <w:pStyle w:val="Funotentext"/>
        <w:ind w:left="142" w:hanging="142"/>
        <w:rPr>
          <w:rFonts w:ascii="Arial" w:hAnsi="Arial" w:cs="Arial"/>
          <w:sz w:val="16"/>
          <w:szCs w:val="16"/>
          <w:lang w:val="fr-CH"/>
        </w:rPr>
      </w:pPr>
      <w:r w:rsidRPr="00584E92">
        <w:rPr>
          <w:rStyle w:val="Funotenzeichen"/>
          <w:rFonts w:ascii="Arial" w:hAnsi="Arial" w:cs="Arial"/>
          <w:sz w:val="16"/>
          <w:szCs w:val="16"/>
        </w:rPr>
        <w:footnoteRef/>
      </w:r>
      <w:r w:rsidR="00D00E84" w:rsidRPr="00D00E84">
        <w:rPr>
          <w:rFonts w:ascii="Arial" w:hAnsi="Arial" w:cs="Arial"/>
          <w:sz w:val="16"/>
          <w:szCs w:val="16"/>
          <w:lang w:val="fr-CH"/>
        </w:rPr>
        <w:t xml:space="preserve"> L’étude du Credit Suisse et le</w:t>
      </w:r>
      <w:r w:rsidRPr="00D00E84">
        <w:rPr>
          <w:rFonts w:ascii="Arial" w:hAnsi="Arial" w:cs="Arial"/>
          <w:sz w:val="16"/>
          <w:szCs w:val="16"/>
          <w:lang w:val="fr-CH"/>
        </w:rPr>
        <w:t xml:space="preserve"> </w:t>
      </w:r>
      <w:proofErr w:type="spellStart"/>
      <w:r w:rsidRPr="00D00E84">
        <w:rPr>
          <w:rFonts w:ascii="Arial" w:hAnsi="Arial" w:cs="Arial"/>
          <w:sz w:val="16"/>
          <w:szCs w:val="16"/>
          <w:lang w:val="fr-CH"/>
        </w:rPr>
        <w:t>Schillingreport</w:t>
      </w:r>
      <w:proofErr w:type="spellEnd"/>
      <w:r w:rsidRPr="00D00E84">
        <w:rPr>
          <w:rFonts w:ascii="Arial" w:hAnsi="Arial" w:cs="Arial"/>
          <w:sz w:val="16"/>
          <w:szCs w:val="16"/>
          <w:lang w:val="fr-CH"/>
        </w:rPr>
        <w:t xml:space="preserve"> 2017</w:t>
      </w:r>
      <w:r w:rsidR="00D00E84" w:rsidRPr="00D00E84">
        <w:rPr>
          <w:rFonts w:ascii="Arial" w:hAnsi="Arial" w:cs="Arial"/>
          <w:sz w:val="16"/>
          <w:szCs w:val="16"/>
          <w:lang w:val="fr-CH"/>
        </w:rPr>
        <w:t>montre</w:t>
      </w:r>
      <w:r w:rsidR="00D00E84">
        <w:rPr>
          <w:rFonts w:ascii="Arial" w:hAnsi="Arial" w:cs="Arial"/>
          <w:sz w:val="16"/>
          <w:szCs w:val="16"/>
          <w:lang w:val="fr-CH"/>
        </w:rPr>
        <w:t>nt</w:t>
      </w:r>
      <w:r w:rsidR="00D00E84" w:rsidRPr="00D00E84">
        <w:rPr>
          <w:rFonts w:ascii="Arial" w:hAnsi="Arial" w:cs="Arial"/>
          <w:sz w:val="16"/>
          <w:szCs w:val="16"/>
          <w:lang w:val="fr-CH"/>
        </w:rPr>
        <w:t xml:space="preserve"> un chiffre nettement plus faible pour la représentation des femmes dans les conseils d‘</w:t>
      </w:r>
      <w:r w:rsidR="00D00E84">
        <w:rPr>
          <w:rFonts w:ascii="Arial" w:hAnsi="Arial" w:cs="Arial"/>
          <w:sz w:val="16"/>
          <w:szCs w:val="16"/>
          <w:lang w:val="fr-CH"/>
        </w:rPr>
        <w:t xml:space="preserve">administration </w:t>
      </w:r>
      <w:r w:rsidR="00D00E84" w:rsidRPr="00D00E84">
        <w:rPr>
          <w:rFonts w:ascii="Arial" w:hAnsi="Arial" w:cs="Arial"/>
          <w:sz w:val="16"/>
          <w:szCs w:val="16"/>
          <w:lang w:val="fr-CH"/>
        </w:rPr>
        <w:t>que l’étude de</w:t>
      </w:r>
      <w:r w:rsidRPr="00D00E84">
        <w:rPr>
          <w:rFonts w:ascii="Arial" w:hAnsi="Arial" w:cs="Arial"/>
          <w:sz w:val="16"/>
          <w:szCs w:val="16"/>
          <w:lang w:val="fr-CH"/>
        </w:rPr>
        <w:t xml:space="preserve"> Travail.Suisse</w:t>
      </w:r>
      <w:r w:rsidR="00D00E84">
        <w:rPr>
          <w:rFonts w:ascii="Arial" w:hAnsi="Arial" w:cs="Arial"/>
          <w:sz w:val="16"/>
          <w:szCs w:val="16"/>
          <w:lang w:val="fr-CH"/>
        </w:rPr>
        <w:t>. Cela s’explique par la composition différente</w:t>
      </w:r>
      <w:r w:rsidR="00EB6487">
        <w:rPr>
          <w:rFonts w:ascii="Arial" w:hAnsi="Arial" w:cs="Arial"/>
          <w:sz w:val="16"/>
          <w:szCs w:val="16"/>
          <w:lang w:val="fr-CH"/>
        </w:rPr>
        <w:t xml:space="preserve"> des entreprises étudiées.</w:t>
      </w:r>
    </w:p>
  </w:footnote>
  <w:footnote w:id="6">
    <w:p w:rsidR="00BB6308" w:rsidRPr="00584E92" w:rsidRDefault="00BB6308" w:rsidP="00584E92">
      <w:pPr>
        <w:pStyle w:val="Funotentext"/>
        <w:ind w:left="142" w:hanging="142"/>
        <w:rPr>
          <w:rFonts w:ascii="Arial" w:hAnsi="Arial" w:cs="Arial"/>
          <w:sz w:val="16"/>
          <w:szCs w:val="16"/>
        </w:rPr>
      </w:pPr>
      <w:r w:rsidRPr="00584E92">
        <w:rPr>
          <w:rStyle w:val="Funotenzeichen"/>
          <w:rFonts w:ascii="Arial" w:hAnsi="Arial" w:cs="Arial"/>
          <w:sz w:val="16"/>
          <w:szCs w:val="16"/>
        </w:rPr>
        <w:footnoteRef/>
      </w:r>
      <w:r w:rsidRPr="00584E92">
        <w:rPr>
          <w:rFonts w:ascii="Arial" w:hAnsi="Arial" w:cs="Arial"/>
          <w:sz w:val="16"/>
          <w:szCs w:val="16"/>
        </w:rPr>
        <w:t xml:space="preserve"> NZZ (</w:t>
      </w:r>
      <w:r w:rsidR="00787FF1" w:rsidRPr="00584E92">
        <w:rPr>
          <w:rFonts w:ascii="Arial" w:hAnsi="Arial" w:cs="Arial"/>
          <w:sz w:val="16"/>
          <w:szCs w:val="16"/>
        </w:rPr>
        <w:t>13.6.</w:t>
      </w:r>
      <w:r w:rsidRPr="00584E92">
        <w:rPr>
          <w:rFonts w:ascii="Arial" w:hAnsi="Arial" w:cs="Arial"/>
          <w:sz w:val="16"/>
          <w:szCs w:val="16"/>
        </w:rPr>
        <w:t>2016): https://www.nzz.ch/wirtschaft/wirtschaftspolitik/gleichstellung-in-unternehmen-deutschland-erreicht-frauenquote-ld.88581</w:t>
      </w:r>
    </w:p>
  </w:footnote>
  <w:footnote w:id="7">
    <w:p w:rsidR="00BB6308" w:rsidRPr="00584E92" w:rsidRDefault="00BB6308" w:rsidP="00584E92">
      <w:pPr>
        <w:pStyle w:val="Funotentext"/>
        <w:ind w:left="142" w:hanging="142"/>
        <w:rPr>
          <w:rFonts w:ascii="Arial" w:hAnsi="Arial" w:cs="Arial"/>
          <w:sz w:val="16"/>
          <w:szCs w:val="16"/>
          <w:lang w:val="de-DE"/>
        </w:rPr>
      </w:pPr>
      <w:r w:rsidRPr="00584E92">
        <w:rPr>
          <w:rStyle w:val="Funotenzeichen"/>
          <w:rFonts w:ascii="Arial" w:hAnsi="Arial" w:cs="Arial"/>
          <w:sz w:val="16"/>
          <w:szCs w:val="16"/>
        </w:rPr>
        <w:footnoteRef/>
      </w:r>
      <w:r w:rsidRPr="00584E92">
        <w:rPr>
          <w:rFonts w:ascii="Arial" w:hAnsi="Arial" w:cs="Arial"/>
          <w:sz w:val="16"/>
          <w:szCs w:val="16"/>
        </w:rPr>
        <w:t xml:space="preserve"> </w:t>
      </w:r>
      <w:r w:rsidRPr="00584E92">
        <w:rPr>
          <w:rFonts w:ascii="Arial" w:hAnsi="Arial" w:cs="Arial"/>
          <w:sz w:val="16"/>
          <w:szCs w:val="16"/>
          <w:lang w:val="de-DE"/>
        </w:rPr>
        <w:t>Tages-Anzeiger (</w:t>
      </w:r>
      <w:r w:rsidR="00787FF1" w:rsidRPr="00584E92">
        <w:rPr>
          <w:rFonts w:ascii="Arial" w:hAnsi="Arial" w:cs="Arial"/>
          <w:sz w:val="16"/>
          <w:szCs w:val="16"/>
          <w:lang w:val="de-DE"/>
        </w:rPr>
        <w:t>22.4.</w:t>
      </w:r>
      <w:r w:rsidR="00E702C4">
        <w:rPr>
          <w:rFonts w:ascii="Arial" w:hAnsi="Arial" w:cs="Arial"/>
          <w:sz w:val="16"/>
          <w:szCs w:val="16"/>
          <w:lang w:val="de-DE"/>
        </w:rPr>
        <w:t xml:space="preserve">2017): </w:t>
      </w:r>
      <w:r w:rsidR="00CB30ED">
        <w:rPr>
          <w:rFonts w:ascii="Arial" w:hAnsi="Arial" w:cs="Arial"/>
          <w:sz w:val="16"/>
          <w:szCs w:val="16"/>
          <w:lang w:val="de-DE"/>
        </w:rPr>
        <w:t>An der Frauenquote schneiden sich Männergeister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12"/>
    <w:rsid w:val="00014770"/>
    <w:rsid w:val="00023070"/>
    <w:rsid w:val="00035581"/>
    <w:rsid w:val="00041CD9"/>
    <w:rsid w:val="00056070"/>
    <w:rsid w:val="00070C12"/>
    <w:rsid w:val="000A44BA"/>
    <w:rsid w:val="000C5996"/>
    <w:rsid w:val="000C5C7B"/>
    <w:rsid w:val="000D5596"/>
    <w:rsid w:val="000D6626"/>
    <w:rsid w:val="00106EA8"/>
    <w:rsid w:val="001111D8"/>
    <w:rsid w:val="001575F9"/>
    <w:rsid w:val="00164CF7"/>
    <w:rsid w:val="001745D5"/>
    <w:rsid w:val="00185B86"/>
    <w:rsid w:val="001A08C5"/>
    <w:rsid w:val="001E1ABB"/>
    <w:rsid w:val="001F22B9"/>
    <w:rsid w:val="00225E9F"/>
    <w:rsid w:val="00240E61"/>
    <w:rsid w:val="00253EA4"/>
    <w:rsid w:val="00255409"/>
    <w:rsid w:val="00255E63"/>
    <w:rsid w:val="00260522"/>
    <w:rsid w:val="00261D0D"/>
    <w:rsid w:val="002636E4"/>
    <w:rsid w:val="00275536"/>
    <w:rsid w:val="00277001"/>
    <w:rsid w:val="002806C4"/>
    <w:rsid w:val="002C59FA"/>
    <w:rsid w:val="002F1FF1"/>
    <w:rsid w:val="002F458F"/>
    <w:rsid w:val="00321D24"/>
    <w:rsid w:val="00340042"/>
    <w:rsid w:val="00343AA4"/>
    <w:rsid w:val="00367CB8"/>
    <w:rsid w:val="003951E6"/>
    <w:rsid w:val="003E61E1"/>
    <w:rsid w:val="003F4D58"/>
    <w:rsid w:val="00415331"/>
    <w:rsid w:val="00443E7C"/>
    <w:rsid w:val="004547BD"/>
    <w:rsid w:val="00457F8D"/>
    <w:rsid w:val="004626BA"/>
    <w:rsid w:val="004959D6"/>
    <w:rsid w:val="004A5049"/>
    <w:rsid w:val="004E0697"/>
    <w:rsid w:val="004F33D1"/>
    <w:rsid w:val="005444F1"/>
    <w:rsid w:val="00555C24"/>
    <w:rsid w:val="00584E92"/>
    <w:rsid w:val="00597C8B"/>
    <w:rsid w:val="005B6DDA"/>
    <w:rsid w:val="005C5548"/>
    <w:rsid w:val="005E1DB0"/>
    <w:rsid w:val="005F104D"/>
    <w:rsid w:val="00637B35"/>
    <w:rsid w:val="006A2A31"/>
    <w:rsid w:val="006C09AC"/>
    <w:rsid w:val="006C50AF"/>
    <w:rsid w:val="006D6175"/>
    <w:rsid w:val="006F34CD"/>
    <w:rsid w:val="00760711"/>
    <w:rsid w:val="00760EE8"/>
    <w:rsid w:val="00787FF1"/>
    <w:rsid w:val="007922A3"/>
    <w:rsid w:val="0079347F"/>
    <w:rsid w:val="007939AF"/>
    <w:rsid w:val="00794408"/>
    <w:rsid w:val="007A5C2C"/>
    <w:rsid w:val="007C6E0A"/>
    <w:rsid w:val="007F1A16"/>
    <w:rsid w:val="007F3414"/>
    <w:rsid w:val="00817B73"/>
    <w:rsid w:val="008377E6"/>
    <w:rsid w:val="0084301B"/>
    <w:rsid w:val="00851581"/>
    <w:rsid w:val="008520CE"/>
    <w:rsid w:val="00855402"/>
    <w:rsid w:val="0086167F"/>
    <w:rsid w:val="0086617E"/>
    <w:rsid w:val="0087112C"/>
    <w:rsid w:val="00881E64"/>
    <w:rsid w:val="00885902"/>
    <w:rsid w:val="00887B38"/>
    <w:rsid w:val="0089069A"/>
    <w:rsid w:val="008A02F3"/>
    <w:rsid w:val="008A0444"/>
    <w:rsid w:val="008B6963"/>
    <w:rsid w:val="008E6F9D"/>
    <w:rsid w:val="00915691"/>
    <w:rsid w:val="00935102"/>
    <w:rsid w:val="009424A1"/>
    <w:rsid w:val="00950F43"/>
    <w:rsid w:val="00954208"/>
    <w:rsid w:val="00956C14"/>
    <w:rsid w:val="009658C9"/>
    <w:rsid w:val="009726A1"/>
    <w:rsid w:val="00974241"/>
    <w:rsid w:val="009805BE"/>
    <w:rsid w:val="009A474F"/>
    <w:rsid w:val="009B667E"/>
    <w:rsid w:val="009E12C1"/>
    <w:rsid w:val="009F078C"/>
    <w:rsid w:val="009F669D"/>
    <w:rsid w:val="00A14E7B"/>
    <w:rsid w:val="00A23522"/>
    <w:rsid w:val="00A312B3"/>
    <w:rsid w:val="00A64F5F"/>
    <w:rsid w:val="00A960A5"/>
    <w:rsid w:val="00AD28C1"/>
    <w:rsid w:val="00AF3176"/>
    <w:rsid w:val="00B410E9"/>
    <w:rsid w:val="00B52600"/>
    <w:rsid w:val="00B60446"/>
    <w:rsid w:val="00B8760B"/>
    <w:rsid w:val="00BA59A5"/>
    <w:rsid w:val="00BB6308"/>
    <w:rsid w:val="00BB73DE"/>
    <w:rsid w:val="00BC06C8"/>
    <w:rsid w:val="00BC25E0"/>
    <w:rsid w:val="00BC6D61"/>
    <w:rsid w:val="00BE0FEC"/>
    <w:rsid w:val="00C03937"/>
    <w:rsid w:val="00C0445B"/>
    <w:rsid w:val="00C10B87"/>
    <w:rsid w:val="00C33B9B"/>
    <w:rsid w:val="00CA305B"/>
    <w:rsid w:val="00CA7EB9"/>
    <w:rsid w:val="00CB30ED"/>
    <w:rsid w:val="00D00E84"/>
    <w:rsid w:val="00D16EB8"/>
    <w:rsid w:val="00D379A1"/>
    <w:rsid w:val="00D4365C"/>
    <w:rsid w:val="00DB7DED"/>
    <w:rsid w:val="00DD2A89"/>
    <w:rsid w:val="00DD4885"/>
    <w:rsid w:val="00DD4BC4"/>
    <w:rsid w:val="00DF0181"/>
    <w:rsid w:val="00DF08DD"/>
    <w:rsid w:val="00E0217E"/>
    <w:rsid w:val="00E2293E"/>
    <w:rsid w:val="00E24757"/>
    <w:rsid w:val="00E24F76"/>
    <w:rsid w:val="00E63F4A"/>
    <w:rsid w:val="00E702C4"/>
    <w:rsid w:val="00E73734"/>
    <w:rsid w:val="00EB6487"/>
    <w:rsid w:val="00EC12B0"/>
    <w:rsid w:val="00EC5639"/>
    <w:rsid w:val="00ED485F"/>
    <w:rsid w:val="00F141CA"/>
    <w:rsid w:val="00F16CF9"/>
    <w:rsid w:val="00F24F6A"/>
    <w:rsid w:val="00F514BD"/>
    <w:rsid w:val="00F74A81"/>
    <w:rsid w:val="00FA051A"/>
    <w:rsid w:val="00FC775B"/>
    <w:rsid w:val="00FF54A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35AF09-9ECE-4D38-A698-E008D0D5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51581"/>
    <w:pPr>
      <w:spacing w:after="200" w:line="240" w:lineRule="auto"/>
    </w:pPr>
    <w:rPr>
      <w:i/>
      <w:iCs/>
      <w:color w:val="44546A" w:themeColor="text2"/>
      <w:sz w:val="18"/>
      <w:szCs w:val="18"/>
    </w:rPr>
  </w:style>
  <w:style w:type="paragraph" w:styleId="Funotentext">
    <w:name w:val="footnote text"/>
    <w:basedOn w:val="Standard"/>
    <w:link w:val="FunotentextZchn"/>
    <w:uiPriority w:val="99"/>
    <w:unhideWhenUsed/>
    <w:rsid w:val="00881E64"/>
    <w:pPr>
      <w:spacing w:after="0" w:line="240" w:lineRule="auto"/>
    </w:pPr>
    <w:rPr>
      <w:sz w:val="20"/>
      <w:szCs w:val="20"/>
    </w:rPr>
  </w:style>
  <w:style w:type="character" w:customStyle="1" w:styleId="FunotentextZchn">
    <w:name w:val="Fußnotentext Zchn"/>
    <w:basedOn w:val="Absatz-Standardschriftart"/>
    <w:link w:val="Funotentext"/>
    <w:uiPriority w:val="99"/>
    <w:rsid w:val="00881E64"/>
    <w:rPr>
      <w:sz w:val="20"/>
      <w:szCs w:val="20"/>
    </w:rPr>
  </w:style>
  <w:style w:type="character" w:styleId="Funotenzeichen">
    <w:name w:val="footnote reference"/>
    <w:basedOn w:val="Absatz-Standardschriftart"/>
    <w:uiPriority w:val="99"/>
    <w:unhideWhenUsed/>
    <w:rsid w:val="00881E64"/>
    <w:rPr>
      <w:vertAlign w:val="superscript"/>
    </w:rPr>
  </w:style>
  <w:style w:type="paragraph" w:styleId="Sprechblasentext">
    <w:name w:val="Balloon Text"/>
    <w:basedOn w:val="Standard"/>
    <w:link w:val="SprechblasentextZchn"/>
    <w:uiPriority w:val="99"/>
    <w:semiHidden/>
    <w:unhideWhenUsed/>
    <w:rsid w:val="00F16C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CF9"/>
    <w:rPr>
      <w:rFonts w:ascii="Segoe UI" w:hAnsi="Segoe UI" w:cs="Segoe UI"/>
      <w:sz w:val="18"/>
      <w:szCs w:val="18"/>
    </w:rPr>
  </w:style>
  <w:style w:type="character" w:styleId="Hyperlink">
    <w:name w:val="Hyperlink"/>
    <w:basedOn w:val="Absatz-Standardschriftart"/>
    <w:uiPriority w:val="99"/>
    <w:unhideWhenUsed/>
    <w:rsid w:val="00584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ailsuisse.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mainsrv\Travailsuisse\Managerlohnstudie\2016_Miriam%20Hofstetter\Medienservice\Frauen%20in%20GL&amp;VR%20Schweiz-International\Frauenquote%20KL,VR%20der%2027%20Unternehmen_weitergef&#252;h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mainsrv\Travailsuisse\Managerlohnstudie\2016_Miriam%20Hofstetter\Medienservice\Frauen%20in%20GL&amp;VR%20Schweiz-International\Frauenquote%20KL,VR%20der%2027%20Unternehmen_weitergef&#252;h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Les femmes dans les cercles</a:t>
            </a:r>
            <a:r>
              <a:rPr lang="en-US" sz="1400" baseline="0"/>
              <a:t> de direction en Suisse</a:t>
            </a:r>
            <a:r>
              <a:rPr lang="en-US" sz="1400"/>
              <a:t> </a:t>
            </a:r>
          </a:p>
        </c:rich>
      </c:tx>
      <c:layout>
        <c:manualLayout>
          <c:xMode val="edge"/>
          <c:yMode val="edge"/>
          <c:x val="0.14204155730533682"/>
          <c:y val="1.384083044982699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de-DE"/>
        </a:p>
      </c:txPr>
    </c:title>
    <c:autoTitleDeleted val="0"/>
    <c:plotArea>
      <c:layout>
        <c:manualLayout>
          <c:layoutTarget val="inner"/>
          <c:xMode val="edge"/>
          <c:yMode val="edge"/>
          <c:x val="0.13997003499562555"/>
          <c:y val="0.18300925925925926"/>
          <c:w val="0.8013632983377077"/>
          <c:h val="0.58725249226510512"/>
        </c:manualLayout>
      </c:layout>
      <c:scatterChart>
        <c:scatterStyle val="lineMarker"/>
        <c:varyColors val="0"/>
        <c:ser>
          <c:idx val="2"/>
          <c:order val="2"/>
          <c:tx>
            <c:strRef>
              <c:f>Tabelle1!$A$4</c:f>
              <c:strCache>
                <c:ptCount val="1"/>
                <c:pt idx="0">
                  <c:v>pourcentage des femmes dans le conseil d'administration</c:v>
                </c:pt>
              </c:strCache>
            </c:strRef>
          </c:tx>
          <c:spPr>
            <a:ln w="25400" cap="rnd">
              <a:noFill/>
              <a:round/>
            </a:ln>
            <a:effectLst/>
          </c:spPr>
          <c:marker>
            <c:symbol val="circle"/>
            <c:size val="5"/>
            <c:spPr>
              <a:solidFill>
                <a:schemeClr val="accent2"/>
              </a:solidFill>
              <a:ln w="9525">
                <a:solidFill>
                  <a:schemeClr val="accent2"/>
                </a:solidFill>
                <a:round/>
              </a:ln>
              <a:effectLst/>
            </c:spPr>
          </c:marker>
          <c:xVal>
            <c:numRef>
              <c:f>Tabelle1!$B$1:$Q$1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f>Tabelle1!$B$4:$Q$4</c:f>
              <c:numCache>
                <c:formatCode>0%</c:formatCode>
                <c:ptCount val="16"/>
                <c:pt idx="0">
                  <c:v>8.5999999999999993E-2</c:v>
                </c:pt>
                <c:pt idx="1">
                  <c:v>9.0999999999999998E-2</c:v>
                </c:pt>
                <c:pt idx="2">
                  <c:v>9.8400000000000001E-2</c:v>
                </c:pt>
                <c:pt idx="3">
                  <c:v>0.1009</c:v>
                </c:pt>
                <c:pt idx="4">
                  <c:v>0.1212</c:v>
                </c:pt>
                <c:pt idx="5">
                  <c:v>0.1129</c:v>
                </c:pt>
                <c:pt idx="6">
                  <c:v>0.11940000000000001</c:v>
                </c:pt>
                <c:pt idx="7">
                  <c:v>0.13300000000000001</c:v>
                </c:pt>
                <c:pt idx="8">
                  <c:v>0.13700000000000001</c:v>
                </c:pt>
                <c:pt idx="9">
                  <c:v>0.13400000000000001</c:v>
                </c:pt>
                <c:pt idx="10">
                  <c:v>0.15536010620643875</c:v>
                </c:pt>
                <c:pt idx="11">
                  <c:v>0.17775919066395826</c:v>
                </c:pt>
                <c:pt idx="12">
                  <c:v>0.21273707326811742</c:v>
                </c:pt>
                <c:pt idx="14" formatCode="0.00%">
                  <c:v>0.21808833650459494</c:v>
                </c:pt>
                <c:pt idx="15" formatCode="0.00%">
                  <c:v>0.23612002567394089</c:v>
                </c:pt>
              </c:numCache>
            </c:numRef>
          </c:yVal>
          <c:smooth val="0"/>
        </c:ser>
        <c:ser>
          <c:idx val="5"/>
          <c:order val="5"/>
          <c:tx>
            <c:strRef>
              <c:f>Tabelle1!$A$7</c:f>
              <c:strCache>
                <c:ptCount val="1"/>
                <c:pt idx="0">
                  <c:v>pourcentage des femmes dans la direction</c:v>
                </c:pt>
              </c:strCache>
            </c:strRef>
          </c:tx>
          <c:spPr>
            <a:ln w="25400" cap="rnd">
              <a:noFill/>
              <a:round/>
            </a:ln>
            <a:effectLst/>
          </c:spPr>
          <c:marker>
            <c:symbol val="circle"/>
            <c:size val="5"/>
            <c:spPr>
              <a:solidFill>
                <a:srgbClr val="0070C0"/>
              </a:solidFill>
              <a:ln w="9525">
                <a:solidFill>
                  <a:srgbClr val="0070C0"/>
                </a:solidFill>
                <a:round/>
              </a:ln>
              <a:effectLst/>
            </c:spPr>
          </c:marker>
          <c:xVal>
            <c:numRef>
              <c:f>Tabelle1!$B$1:$Q$1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f>Tabelle1!$B$7:$Q$7</c:f>
              <c:numCache>
                <c:formatCode>0%</c:formatCode>
                <c:ptCount val="16"/>
                <c:pt idx="0">
                  <c:v>2.3599999999999999E-2</c:v>
                </c:pt>
                <c:pt idx="1">
                  <c:v>1.5599999999999999E-2</c:v>
                </c:pt>
                <c:pt idx="2">
                  <c:v>9.5999999999999992E-3</c:v>
                </c:pt>
                <c:pt idx="3">
                  <c:v>2.9899999999999999E-2</c:v>
                </c:pt>
                <c:pt idx="4">
                  <c:v>2.87E-2</c:v>
                </c:pt>
                <c:pt idx="5">
                  <c:v>3.3399999999999999E-2</c:v>
                </c:pt>
                <c:pt idx="6">
                  <c:v>3.4599999999999999E-2</c:v>
                </c:pt>
                <c:pt idx="7">
                  <c:v>3.8300000000000001E-2</c:v>
                </c:pt>
                <c:pt idx="8">
                  <c:v>5.2400000000000002E-2</c:v>
                </c:pt>
                <c:pt idx="9">
                  <c:v>5.1999999999999998E-2</c:v>
                </c:pt>
                <c:pt idx="10">
                  <c:v>5.8347062053816574E-2</c:v>
                </c:pt>
                <c:pt idx="11">
                  <c:v>3.9721520194554376E-2</c:v>
                </c:pt>
                <c:pt idx="12">
                  <c:v>4.6147391973150598E-2</c:v>
                </c:pt>
                <c:pt idx="14">
                  <c:v>4.0860800871697092E-2</c:v>
                </c:pt>
                <c:pt idx="15">
                  <c:v>6.4593416071685283E-2</c:v>
                </c:pt>
              </c:numCache>
            </c:numRef>
          </c:yVal>
          <c:smooth val="0"/>
        </c:ser>
        <c:dLbls>
          <c:showLegendKey val="0"/>
          <c:showVal val="0"/>
          <c:showCatName val="0"/>
          <c:showSerName val="0"/>
          <c:showPercent val="0"/>
          <c:showBubbleSize val="0"/>
        </c:dLbls>
        <c:axId val="310335912"/>
        <c:axId val="310336304"/>
        <c:extLst>
          <c:ext xmlns:c15="http://schemas.microsoft.com/office/drawing/2012/chart" uri="{02D57815-91ED-43cb-92C2-25804820EDAC}">
            <c15:filteredScatterSeries>
              <c15:ser>
                <c:idx val="0"/>
                <c:order val="0"/>
                <c:tx>
                  <c:strRef>
                    <c:extLst>
                      <c:ext uri="{02D57815-91ED-43cb-92C2-25804820EDAC}">
                        <c15:formulaRef>
                          <c15:sqref>Tabelle1!$A$2</c15:sqref>
                        </c15:formulaRef>
                      </c:ext>
                    </c:extLst>
                    <c:strCache>
                      <c:ptCount val="1"/>
                      <c:pt idx="0">
                        <c:v>VR-Mitglieder</c:v>
                      </c:pt>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extLst>
                      <c:ext uri="{02D57815-91ED-43cb-92C2-25804820EDAC}">
                        <c15:formulaRef>
                          <c15:sqref>Tabelle1!$B$1:$Q$1</c15:sqref>
                        </c15:formulaRef>
                      </c:ext>
                    </c:extLst>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extLst>
                      <c:ext uri="{02D57815-91ED-43cb-92C2-25804820EDAC}">
                        <c15:formulaRef>
                          <c15:sqref>Tabelle1!$B$2:$Q$2</c15:sqref>
                        </c15:formulaRef>
                      </c:ext>
                    </c:extLst>
                    <c:numCache>
                      <c:formatCode>General</c:formatCode>
                      <c:ptCount val="16"/>
                      <c:pt idx="0">
                        <c:v>249.9</c:v>
                      </c:pt>
                      <c:pt idx="1">
                        <c:v>262.89999999999998</c:v>
                      </c:pt>
                      <c:pt idx="2">
                        <c:v>254.1</c:v>
                      </c:pt>
                      <c:pt idx="3">
                        <c:v>247.8</c:v>
                      </c:pt>
                      <c:pt idx="4">
                        <c:v>247.5</c:v>
                      </c:pt>
                      <c:pt idx="5">
                        <c:v>251.8</c:v>
                      </c:pt>
                      <c:pt idx="6">
                        <c:v>254.7</c:v>
                      </c:pt>
                      <c:pt idx="7">
                        <c:v>254.3</c:v>
                      </c:pt>
                      <c:pt idx="8">
                        <c:v>248.7</c:v>
                      </c:pt>
                      <c:pt idx="9">
                        <c:v>252.4</c:v>
                      </c:pt>
                      <c:pt idx="10">
                        <c:v>301.3</c:v>
                      </c:pt>
                      <c:pt idx="11">
                        <c:v>251.07</c:v>
                      </c:pt>
                      <c:pt idx="12">
                        <c:v>250.45</c:v>
                      </c:pt>
                      <c:pt idx="14">
                        <c:v>247.01</c:v>
                      </c:pt>
                      <c:pt idx="15">
                        <c:v>249.28000000000003</c:v>
                      </c:pt>
                    </c:numCache>
                  </c:numRef>
                </c:yVal>
                <c:smooth val="0"/>
              </c15:ser>
            </c15:filteredScatterSeries>
            <c15:filteredScatterSeries>
              <c15:ser>
                <c:idx val="1"/>
                <c:order val="1"/>
                <c:tx>
                  <c:strRef>
                    <c:extLst xmlns:c15="http://schemas.microsoft.com/office/drawing/2012/chart">
                      <c:ext xmlns:c15="http://schemas.microsoft.com/office/drawing/2012/chart" uri="{02D57815-91ED-43cb-92C2-25804820EDAC}">
                        <c15:formulaRef>
                          <c15:sqref>Tabelle1!$A$3</c15:sqref>
                        </c15:formulaRef>
                      </c:ext>
                    </c:extLst>
                    <c:strCache>
                      <c:ptCount val="1"/>
                      <c:pt idx="0">
                        <c:v>davon Frauen</c:v>
                      </c:pt>
                    </c:strCache>
                  </c:strRef>
                </c:tx>
                <c:spPr>
                  <a:ln w="25400" cap="rnd">
                    <a:no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extLst xmlns:c15="http://schemas.microsoft.com/office/drawing/2012/chart">
                      <c:ext xmlns:c15="http://schemas.microsoft.com/office/drawing/2012/chart" uri="{02D57815-91ED-43cb-92C2-25804820EDAC}">
                        <c15:formulaRef>
                          <c15:sqref>Tabelle1!$B$1:$Q$1</c15:sqref>
                        </c15:formulaRef>
                      </c:ext>
                    </c:extLst>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extLst xmlns:c15="http://schemas.microsoft.com/office/drawing/2012/chart">
                      <c:ext xmlns:c15="http://schemas.microsoft.com/office/drawing/2012/chart" uri="{02D57815-91ED-43cb-92C2-25804820EDAC}">
                        <c15:formulaRef>
                          <c15:sqref>Tabelle1!$B$3:$Q$3</c15:sqref>
                        </c15:formulaRef>
                      </c:ext>
                    </c:extLst>
                    <c:numCache>
                      <c:formatCode>General</c:formatCode>
                      <c:ptCount val="16"/>
                      <c:pt idx="0">
                        <c:v>21.5</c:v>
                      </c:pt>
                      <c:pt idx="1">
                        <c:v>23.9</c:v>
                      </c:pt>
                      <c:pt idx="2">
                        <c:v>25</c:v>
                      </c:pt>
                      <c:pt idx="3">
                        <c:v>25</c:v>
                      </c:pt>
                      <c:pt idx="4">
                        <c:v>30</c:v>
                      </c:pt>
                      <c:pt idx="5">
                        <c:v>28.4</c:v>
                      </c:pt>
                      <c:pt idx="6">
                        <c:v>30.4</c:v>
                      </c:pt>
                      <c:pt idx="7">
                        <c:v>33.9</c:v>
                      </c:pt>
                      <c:pt idx="8">
                        <c:v>34</c:v>
                      </c:pt>
                      <c:pt idx="9">
                        <c:v>33.700000000000003</c:v>
                      </c:pt>
                      <c:pt idx="10">
                        <c:v>46.809999999999995</c:v>
                      </c:pt>
                      <c:pt idx="11">
                        <c:v>44.63</c:v>
                      </c:pt>
                      <c:pt idx="12">
                        <c:v>53.28</c:v>
                      </c:pt>
                      <c:pt idx="14">
                        <c:v>53.87</c:v>
                      </c:pt>
                      <c:pt idx="15">
                        <c:v>58.859999999999992</c:v>
                      </c:pt>
                    </c:numCache>
                  </c:numRef>
                </c:yVal>
                <c:smooth val="0"/>
              </c15:ser>
            </c15:filteredScatterSeries>
            <c15:filteredScatterSeries>
              <c15:ser>
                <c:idx val="3"/>
                <c:order val="3"/>
                <c:tx>
                  <c:strRef>
                    <c:extLst xmlns:c15="http://schemas.microsoft.com/office/drawing/2012/chart">
                      <c:ext xmlns:c15="http://schemas.microsoft.com/office/drawing/2012/chart" uri="{02D57815-91ED-43cb-92C2-25804820EDAC}">
                        <c15:formulaRef>
                          <c15:sqref>Tabelle1!$A$5</c15:sqref>
                        </c15:formulaRef>
                      </c:ext>
                    </c:extLst>
                    <c:strCache>
                      <c:ptCount val="1"/>
                      <c:pt idx="0">
                        <c:v>KL-Mitglieder</c:v>
                      </c:pt>
                    </c:strCache>
                  </c:strRef>
                </c:tx>
                <c:spPr>
                  <a:ln w="25400" cap="rnd">
                    <a:noFill/>
                    <a:round/>
                  </a:ln>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c:spPr>
                </c:marker>
                <c:xVal>
                  <c:numRef>
                    <c:extLst xmlns:c15="http://schemas.microsoft.com/office/drawing/2012/chart">
                      <c:ext xmlns:c15="http://schemas.microsoft.com/office/drawing/2012/chart" uri="{02D57815-91ED-43cb-92C2-25804820EDAC}">
                        <c15:formulaRef>
                          <c15:sqref>Tabelle1!$B$1:$Q$1</c15:sqref>
                        </c15:formulaRef>
                      </c:ext>
                    </c:extLst>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extLst xmlns:c15="http://schemas.microsoft.com/office/drawing/2012/chart">
                      <c:ext xmlns:c15="http://schemas.microsoft.com/office/drawing/2012/chart" uri="{02D57815-91ED-43cb-92C2-25804820EDAC}">
                        <c15:formulaRef>
                          <c15:sqref>Tabelle1!$B$5:$Q$5</c15:sqref>
                        </c15:formulaRef>
                      </c:ext>
                    </c:extLst>
                    <c:numCache>
                      <c:formatCode>General</c:formatCode>
                      <c:ptCount val="16"/>
                      <c:pt idx="0">
                        <c:v>211.8</c:v>
                      </c:pt>
                      <c:pt idx="1">
                        <c:v>223.8</c:v>
                      </c:pt>
                      <c:pt idx="2">
                        <c:v>209.1</c:v>
                      </c:pt>
                      <c:pt idx="3">
                        <c:v>214.3</c:v>
                      </c:pt>
                      <c:pt idx="4">
                        <c:v>209.2</c:v>
                      </c:pt>
                      <c:pt idx="5">
                        <c:v>214.5</c:v>
                      </c:pt>
                      <c:pt idx="6">
                        <c:v>214.5</c:v>
                      </c:pt>
                      <c:pt idx="7">
                        <c:v>216.7</c:v>
                      </c:pt>
                      <c:pt idx="8">
                        <c:v>208.3</c:v>
                      </c:pt>
                      <c:pt idx="9">
                        <c:v>221</c:v>
                      </c:pt>
                      <c:pt idx="10">
                        <c:v>218.52000000000004</c:v>
                      </c:pt>
                      <c:pt idx="11">
                        <c:v>209.71000000000004</c:v>
                      </c:pt>
                      <c:pt idx="12">
                        <c:v>214.53000000000006</c:v>
                      </c:pt>
                      <c:pt idx="14">
                        <c:v>220.25999999999996</c:v>
                      </c:pt>
                      <c:pt idx="15">
                        <c:v>208.69</c:v>
                      </c:pt>
                    </c:numCache>
                  </c:numRef>
                </c:yVal>
                <c:smooth val="0"/>
              </c15:ser>
            </c15:filteredScatterSeries>
            <c15:filteredScatterSeries>
              <c15:ser>
                <c:idx val="4"/>
                <c:order val="4"/>
                <c:tx>
                  <c:strRef>
                    <c:extLst xmlns:c15="http://schemas.microsoft.com/office/drawing/2012/chart">
                      <c:ext xmlns:c15="http://schemas.microsoft.com/office/drawing/2012/chart" uri="{02D57815-91ED-43cb-92C2-25804820EDAC}">
                        <c15:formulaRef>
                          <c15:sqref>Tabelle1!$A$6</c15:sqref>
                        </c15:formulaRef>
                      </c:ext>
                    </c:extLst>
                    <c:strCache>
                      <c:ptCount val="1"/>
                      <c:pt idx="0">
                        <c:v>davon Frauen</c:v>
                      </c:pt>
                    </c:strCache>
                  </c:strRef>
                </c:tx>
                <c:spPr>
                  <a:ln w="25400" cap="rnd">
                    <a:noFill/>
                    <a:round/>
                  </a:ln>
                  <a:effectLst/>
                </c:spPr>
                <c:marker>
                  <c:symbol val="circle"/>
                  <c:size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c:spPr>
                </c:marker>
                <c:xVal>
                  <c:numRef>
                    <c:extLst xmlns:c15="http://schemas.microsoft.com/office/drawing/2012/chart">
                      <c:ext xmlns:c15="http://schemas.microsoft.com/office/drawing/2012/chart" uri="{02D57815-91ED-43cb-92C2-25804820EDAC}">
                        <c15:formulaRef>
                          <c15:sqref>Tabelle1!$B$1:$Q$1</c15:sqref>
                        </c15:formulaRef>
                      </c:ext>
                    </c:extLst>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extLst xmlns:c15="http://schemas.microsoft.com/office/drawing/2012/chart">
                      <c:ext xmlns:c15="http://schemas.microsoft.com/office/drawing/2012/chart" uri="{02D57815-91ED-43cb-92C2-25804820EDAC}">
                        <c15:formulaRef>
                          <c15:sqref>Tabelle1!$B$6:$Q$6</c15:sqref>
                        </c15:formulaRef>
                      </c:ext>
                    </c:extLst>
                    <c:numCache>
                      <c:formatCode>General</c:formatCode>
                      <c:ptCount val="16"/>
                      <c:pt idx="0">
                        <c:v>5</c:v>
                      </c:pt>
                      <c:pt idx="1">
                        <c:v>3.5</c:v>
                      </c:pt>
                      <c:pt idx="2">
                        <c:v>2</c:v>
                      </c:pt>
                      <c:pt idx="3">
                        <c:v>6.4</c:v>
                      </c:pt>
                      <c:pt idx="4">
                        <c:v>6</c:v>
                      </c:pt>
                      <c:pt idx="5">
                        <c:v>7.2</c:v>
                      </c:pt>
                      <c:pt idx="6">
                        <c:v>7.4</c:v>
                      </c:pt>
                      <c:pt idx="7">
                        <c:v>8.3000000000000007</c:v>
                      </c:pt>
                      <c:pt idx="8">
                        <c:v>10.9</c:v>
                      </c:pt>
                      <c:pt idx="9">
                        <c:v>11.5</c:v>
                      </c:pt>
                      <c:pt idx="10">
                        <c:v>12.75</c:v>
                      </c:pt>
                      <c:pt idx="11">
                        <c:v>8.33</c:v>
                      </c:pt>
                      <c:pt idx="12">
                        <c:v>9.9</c:v>
                      </c:pt>
                      <c:pt idx="14">
                        <c:v>9</c:v>
                      </c:pt>
                      <c:pt idx="15">
                        <c:v>13.48</c:v>
                      </c:pt>
                    </c:numCache>
                  </c:numRef>
                </c:yVal>
                <c:smooth val="0"/>
              </c15:ser>
            </c15:filteredScatterSeries>
            <c15:filteredScatterSeries>
              <c15:ser>
                <c:idx val="6"/>
                <c:order val="6"/>
                <c:tx>
                  <c:strRef>
                    <c:extLst xmlns:c15="http://schemas.microsoft.com/office/drawing/2012/chart">
                      <c:ext xmlns:c15="http://schemas.microsoft.com/office/drawing/2012/chart" uri="{02D57815-91ED-43cb-92C2-25804820EDAC}">
                        <c15:formulaRef>
                          <c15:sqref>Tabelle1!$A$8</c15:sqref>
                        </c15:formulaRef>
                      </c:ext>
                    </c:extLst>
                    <c:strCache>
                      <c:ptCount val="1"/>
                    </c:strCache>
                  </c:strRef>
                </c:tx>
                <c:spPr>
                  <a:ln w="25400" cap="rnd">
                    <a:noFill/>
                    <a:round/>
                  </a:ln>
                  <a:effectLst/>
                </c:spPr>
                <c:marker>
                  <c:symbol val="circle"/>
                  <c:size val="5"/>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9525">
                      <a:solidFill>
                        <a:schemeClr val="accent1">
                          <a:lumMod val="60000"/>
                        </a:schemeClr>
                      </a:solidFill>
                      <a:round/>
                    </a:ln>
                    <a:effectLst/>
                  </c:spPr>
                </c:marker>
                <c:xVal>
                  <c:numRef>
                    <c:extLst xmlns:c15="http://schemas.microsoft.com/office/drawing/2012/chart">
                      <c:ext xmlns:c15="http://schemas.microsoft.com/office/drawing/2012/chart" uri="{02D57815-91ED-43cb-92C2-25804820EDAC}">
                        <c15:formulaRef>
                          <c15:sqref>Tabelle1!$B$1:$Q$1</c15:sqref>
                        </c15:formulaRef>
                      </c:ext>
                    </c:extLst>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xVal>
                <c:yVal>
                  <c:numRef>
                    <c:extLst xmlns:c15="http://schemas.microsoft.com/office/drawing/2012/chart">
                      <c:ext xmlns:c15="http://schemas.microsoft.com/office/drawing/2012/chart" uri="{02D57815-91ED-43cb-92C2-25804820EDAC}">
                        <c15:formulaRef>
                          <c15:sqref>Tabelle1!$B$8:$Q$8</c15:sqref>
                        </c15:formulaRef>
                      </c:ext>
                    </c:extLst>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4">
                        <c:v>2015</c:v>
                      </c:pt>
                      <c:pt idx="15">
                        <c:v>2016</c:v>
                      </c:pt>
                    </c:numCache>
                  </c:numRef>
                </c:yVal>
                <c:smooth val="0"/>
              </c15:ser>
            </c15:filteredScatterSeries>
          </c:ext>
        </c:extLst>
      </c:scatterChart>
      <c:valAx>
        <c:axId val="310335912"/>
        <c:scaling>
          <c:orientation val="minMax"/>
          <c:max val="2016"/>
          <c:min val="2001"/>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e-DE"/>
          </a:p>
        </c:txPr>
        <c:crossAx val="310336304"/>
        <c:crosses val="autoZero"/>
        <c:crossBetween val="midCat"/>
        <c:majorUnit val="3"/>
      </c:valAx>
      <c:valAx>
        <c:axId val="31033630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de-CH"/>
                  <a:t>Pourcentage des femmes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de-DE"/>
            </a:p>
          </c:txPr>
        </c:title>
        <c:numFmt formatCode="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e-DE"/>
          </a:p>
        </c:txPr>
        <c:crossAx val="310335912"/>
        <c:crosses val="autoZero"/>
        <c:crossBetween val="midCat"/>
      </c:valAx>
      <c:spPr>
        <a:noFill/>
        <a:ln>
          <a:noFill/>
        </a:ln>
        <a:effectLst/>
      </c:spPr>
    </c:plotArea>
    <c:legend>
      <c:legendPos val="b"/>
      <c:layout>
        <c:manualLayout>
          <c:xMode val="edge"/>
          <c:yMode val="edge"/>
          <c:x val="0.20940653240532284"/>
          <c:y val="0.84283418579212344"/>
          <c:w val="0.66031629396156255"/>
          <c:h val="0.132512505407065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de-CH" b="1"/>
              <a:t>Pourcentage des femmes dans la Direction de l'entreprise et le</a:t>
            </a:r>
            <a:r>
              <a:rPr lang="de-CH" b="1" baseline="0"/>
              <a:t> Conseil d'administration (2015)</a:t>
            </a:r>
            <a:endParaRPr lang="de-CH"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3448490111995351"/>
          <c:y val="0.23295033844453653"/>
          <c:w val="0.82606330835151631"/>
          <c:h val="0.54532566652852599"/>
        </c:manualLayout>
      </c:layout>
      <c:barChart>
        <c:barDir val="col"/>
        <c:grouping val="clustered"/>
        <c:varyColors val="0"/>
        <c:ser>
          <c:idx val="0"/>
          <c:order val="0"/>
          <c:tx>
            <c:strRef>
              <c:f>Tabelle1!$U$4</c:f>
              <c:strCache>
                <c:ptCount val="1"/>
                <c:pt idx="0">
                  <c:v>Management supérieur</c:v>
                </c:pt>
              </c:strCache>
            </c:strRef>
          </c:tx>
          <c:spPr>
            <a:solidFill>
              <a:schemeClr val="accent1"/>
            </a:solidFill>
            <a:ln>
              <a:noFill/>
            </a:ln>
            <a:effectLst/>
          </c:spPr>
          <c:invertIfNegative val="0"/>
          <c:cat>
            <c:strRef>
              <c:f>Tabelle1!$V$3:$X$3</c:f>
              <c:strCache>
                <c:ptCount val="3"/>
                <c:pt idx="0">
                  <c:v>Suisse</c:v>
                </c:pt>
                <c:pt idx="1">
                  <c:v>Europe</c:v>
                </c:pt>
                <c:pt idx="2">
                  <c:v>Global</c:v>
                </c:pt>
              </c:strCache>
            </c:strRef>
          </c:cat>
          <c:val>
            <c:numRef>
              <c:f>Tabelle1!$V$4:$X$4</c:f>
              <c:numCache>
                <c:formatCode>0.00%</c:formatCode>
                <c:ptCount val="3"/>
                <c:pt idx="0">
                  <c:v>6.7000000000000004E-2</c:v>
                </c:pt>
                <c:pt idx="1">
                  <c:v>0.126</c:v>
                </c:pt>
                <c:pt idx="2">
                  <c:v>0.13800000000000001</c:v>
                </c:pt>
              </c:numCache>
            </c:numRef>
          </c:val>
        </c:ser>
        <c:ser>
          <c:idx val="1"/>
          <c:order val="1"/>
          <c:tx>
            <c:strRef>
              <c:f>Tabelle1!$U$5</c:f>
              <c:strCache>
                <c:ptCount val="1"/>
                <c:pt idx="0">
                  <c:v>Conseil d'administration</c:v>
                </c:pt>
              </c:strCache>
            </c:strRef>
          </c:tx>
          <c:spPr>
            <a:solidFill>
              <a:schemeClr val="accent2"/>
            </a:solidFill>
            <a:ln>
              <a:noFill/>
            </a:ln>
            <a:effectLst/>
          </c:spPr>
          <c:invertIfNegative val="0"/>
          <c:cat>
            <c:strRef>
              <c:f>Tabelle1!$V$3:$X$3</c:f>
              <c:strCache>
                <c:ptCount val="3"/>
                <c:pt idx="0">
                  <c:v>Suisse</c:v>
                </c:pt>
                <c:pt idx="1">
                  <c:v>Europe</c:v>
                </c:pt>
                <c:pt idx="2">
                  <c:v>Global</c:v>
                </c:pt>
              </c:strCache>
            </c:strRef>
          </c:cat>
          <c:val>
            <c:numRef>
              <c:f>Tabelle1!$V$5:$X$5</c:f>
              <c:numCache>
                <c:formatCode>0.00%</c:formatCode>
                <c:ptCount val="3"/>
                <c:pt idx="0">
                  <c:v>0.13400000000000001</c:v>
                </c:pt>
                <c:pt idx="1">
                  <c:v>0.24399999999999999</c:v>
                </c:pt>
                <c:pt idx="2">
                  <c:v>0.14699999999999999</c:v>
                </c:pt>
              </c:numCache>
            </c:numRef>
          </c:val>
        </c:ser>
        <c:dLbls>
          <c:showLegendKey val="0"/>
          <c:showVal val="0"/>
          <c:showCatName val="0"/>
          <c:showSerName val="0"/>
          <c:showPercent val="0"/>
          <c:showBubbleSize val="0"/>
        </c:dLbls>
        <c:gapWidth val="219"/>
        <c:overlap val="-27"/>
        <c:axId val="9585288"/>
        <c:axId val="9585680"/>
      </c:barChart>
      <c:catAx>
        <c:axId val="9585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585680"/>
        <c:crosses val="autoZero"/>
        <c:auto val="1"/>
        <c:lblAlgn val="ctr"/>
        <c:lblOffset val="100"/>
        <c:noMultiLvlLbl val="0"/>
      </c:catAx>
      <c:valAx>
        <c:axId val="958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pourcentage des femmes</a:t>
                </a:r>
              </a:p>
            </c:rich>
          </c:tx>
          <c:layout>
            <c:manualLayout>
              <c:xMode val="edge"/>
              <c:yMode val="edge"/>
              <c:x val="3.0838444659658185E-2"/>
              <c:y val="0.413847537013674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585288"/>
        <c:crosses val="autoZero"/>
        <c:crossBetween val="between"/>
      </c:valAx>
      <c:spPr>
        <a:noFill/>
        <a:ln>
          <a:noFill/>
        </a:ln>
        <a:effectLst/>
      </c:spPr>
    </c:plotArea>
    <c:legend>
      <c:legendPos val="r"/>
      <c:layout>
        <c:manualLayout>
          <c:xMode val="edge"/>
          <c:yMode val="edge"/>
          <c:x val="0.20384171858035818"/>
          <c:y val="0.88569017270631223"/>
          <c:w val="0.70275179457989434"/>
          <c:h val="9.11610910514638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0836-08D2-49C5-9C4F-27261326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5869</Characters>
  <Application>Microsoft Office Word</Application>
  <DocSecurity>4</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Hofstetter</dc:creator>
  <cp:keywords/>
  <dc:description/>
  <cp:lastModifiedBy>Linda Rosenkranz</cp:lastModifiedBy>
  <cp:revision>2</cp:revision>
  <cp:lastPrinted>2017-05-02T07:12:00Z</cp:lastPrinted>
  <dcterms:created xsi:type="dcterms:W3CDTF">2017-05-08T11:54:00Z</dcterms:created>
  <dcterms:modified xsi:type="dcterms:W3CDTF">2017-05-08T11:54:00Z</dcterms:modified>
</cp:coreProperties>
</file>