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2D" w:rsidRDefault="00635E2D" w:rsidP="00DD6B43">
      <w:pPr>
        <w:spacing w:line="300" w:lineRule="exact"/>
        <w:rPr>
          <w:rFonts w:ascii="Arial" w:hAnsi="Arial" w:cs="Arial"/>
          <w:sz w:val="20"/>
          <w:szCs w:val="20"/>
        </w:rPr>
      </w:pPr>
      <w:r w:rsidRPr="00DD6B43">
        <w:rPr>
          <w:rFonts w:ascii="Arial" w:hAnsi="Arial" w:cs="Arial"/>
          <w:sz w:val="20"/>
          <w:szCs w:val="20"/>
        </w:rPr>
        <w:t>Medien</w:t>
      </w:r>
      <w:r w:rsidR="002E1763">
        <w:rPr>
          <w:rFonts w:ascii="Arial" w:hAnsi="Arial" w:cs="Arial"/>
          <w:sz w:val="20"/>
          <w:szCs w:val="20"/>
        </w:rPr>
        <w:t>service Travail.Suisse - Ausgabe</w:t>
      </w:r>
      <w:r w:rsidRPr="00DD6B43">
        <w:rPr>
          <w:rFonts w:ascii="Arial" w:hAnsi="Arial" w:cs="Arial"/>
          <w:sz w:val="20"/>
          <w:szCs w:val="20"/>
        </w:rPr>
        <w:t xml:space="preserve"> vom </w:t>
      </w:r>
      <w:r w:rsidR="00DB435D" w:rsidRPr="00DD6B43">
        <w:rPr>
          <w:rFonts w:ascii="Arial" w:hAnsi="Arial" w:cs="Arial"/>
          <w:sz w:val="20"/>
          <w:szCs w:val="20"/>
        </w:rPr>
        <w:t>20. Juni 2016</w:t>
      </w:r>
      <w:r w:rsidR="00DD6B43">
        <w:rPr>
          <w:rFonts w:ascii="Arial" w:hAnsi="Arial" w:cs="Arial"/>
          <w:sz w:val="20"/>
          <w:szCs w:val="20"/>
        </w:rPr>
        <w:t xml:space="preserve"> </w:t>
      </w:r>
    </w:p>
    <w:p w:rsidR="002E1763" w:rsidRDefault="002E1763" w:rsidP="00DD6B4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DD6B4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DD6B4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DD6B4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Pr="00DD6B43" w:rsidRDefault="002E1763" w:rsidP="00DD6B43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994473" w:rsidRPr="00DD6B43" w:rsidRDefault="003F4F1A" w:rsidP="00DD6B43">
      <w:pPr>
        <w:spacing w:line="360" w:lineRule="exact"/>
        <w:rPr>
          <w:rFonts w:ascii="Arial" w:hAnsi="Arial" w:cs="Arial"/>
          <w:b/>
          <w:sz w:val="30"/>
          <w:szCs w:val="30"/>
        </w:rPr>
      </w:pPr>
      <w:r w:rsidRPr="00DD6B43">
        <w:rPr>
          <w:rFonts w:ascii="Arial" w:hAnsi="Arial" w:cs="Arial"/>
          <w:b/>
          <w:sz w:val="30"/>
          <w:szCs w:val="30"/>
        </w:rPr>
        <w:t>Managerlöhne</w:t>
      </w:r>
      <w:r w:rsidR="00DB7725" w:rsidRPr="00DD6B43">
        <w:rPr>
          <w:rFonts w:ascii="Arial" w:hAnsi="Arial" w:cs="Arial"/>
          <w:b/>
          <w:sz w:val="30"/>
          <w:szCs w:val="30"/>
        </w:rPr>
        <w:t xml:space="preserve"> 2015</w:t>
      </w:r>
      <w:r w:rsidRPr="00DD6B43">
        <w:rPr>
          <w:rFonts w:ascii="Arial" w:hAnsi="Arial" w:cs="Arial"/>
          <w:b/>
          <w:sz w:val="30"/>
          <w:szCs w:val="30"/>
        </w:rPr>
        <w:t xml:space="preserve">: </w:t>
      </w:r>
      <w:r w:rsidR="00DB435D" w:rsidRPr="00DD6B43">
        <w:rPr>
          <w:rFonts w:ascii="Arial" w:hAnsi="Arial" w:cs="Arial"/>
          <w:b/>
          <w:sz w:val="30"/>
          <w:szCs w:val="30"/>
        </w:rPr>
        <w:t xml:space="preserve">Weitverbreitete Erhöhungen – Beginn </w:t>
      </w:r>
      <w:r w:rsidR="00BD7099" w:rsidRPr="00DD6B43">
        <w:rPr>
          <w:rFonts w:ascii="Arial" w:hAnsi="Arial" w:cs="Arial"/>
          <w:b/>
          <w:sz w:val="30"/>
          <w:szCs w:val="30"/>
        </w:rPr>
        <w:t>des nächsten Bonirausche</w:t>
      </w:r>
      <w:r w:rsidR="00DB435D" w:rsidRPr="00DD6B43">
        <w:rPr>
          <w:rFonts w:ascii="Arial" w:hAnsi="Arial" w:cs="Arial"/>
          <w:b/>
          <w:sz w:val="30"/>
          <w:szCs w:val="30"/>
        </w:rPr>
        <w:t>s?</w:t>
      </w:r>
    </w:p>
    <w:p w:rsidR="008A3C6E" w:rsidRPr="00DD6B43" w:rsidRDefault="008A3C6E" w:rsidP="00DD6B43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E93CA8" w:rsidRPr="00DD6B43" w:rsidRDefault="00BD3E00" w:rsidP="00DD6B43">
      <w:pPr>
        <w:spacing w:line="300" w:lineRule="exact"/>
        <w:rPr>
          <w:rFonts w:ascii="Arial" w:hAnsi="Arial" w:cs="Arial"/>
          <w:b/>
          <w:sz w:val="20"/>
          <w:szCs w:val="20"/>
          <w:lang w:val="de-CH"/>
        </w:rPr>
      </w:pPr>
      <w:r w:rsidRPr="00DD6B43">
        <w:rPr>
          <w:rFonts w:ascii="Arial" w:hAnsi="Arial" w:cs="Arial"/>
          <w:b/>
          <w:sz w:val="20"/>
          <w:szCs w:val="20"/>
          <w:lang w:val="de-CH"/>
        </w:rPr>
        <w:t>Das</w:t>
      </w:r>
      <w:r w:rsidR="002241DA" w:rsidRPr="00DD6B43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1230C2" w:rsidRPr="00DD6B43">
        <w:rPr>
          <w:rFonts w:ascii="Arial" w:hAnsi="Arial" w:cs="Arial"/>
          <w:b/>
          <w:sz w:val="20"/>
          <w:szCs w:val="20"/>
          <w:lang w:val="de-CH"/>
        </w:rPr>
        <w:t xml:space="preserve">Geschäftsjahr </w:t>
      </w:r>
      <w:r w:rsidR="00DB435D" w:rsidRPr="00DD6B43">
        <w:rPr>
          <w:rFonts w:ascii="Arial" w:hAnsi="Arial" w:cs="Arial"/>
          <w:b/>
          <w:sz w:val="20"/>
          <w:szCs w:val="20"/>
          <w:lang w:val="de-CH"/>
        </w:rPr>
        <w:t>2015</w:t>
      </w:r>
      <w:r w:rsidR="002241DA" w:rsidRPr="00DD6B43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B435D" w:rsidRPr="00DD6B43">
        <w:rPr>
          <w:rFonts w:ascii="Arial" w:hAnsi="Arial" w:cs="Arial"/>
          <w:b/>
          <w:sz w:val="20"/>
          <w:szCs w:val="20"/>
          <w:lang w:val="de-CH"/>
        </w:rPr>
        <w:t>zeigt ein grosses Wachstum bei den Managerlöhnen in der Schweiz</w:t>
      </w:r>
      <w:r w:rsidR="002C7362" w:rsidRPr="00DD6B43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DB435D" w:rsidRPr="00DD6B43">
        <w:rPr>
          <w:rFonts w:ascii="Arial" w:hAnsi="Arial" w:cs="Arial"/>
          <w:b/>
          <w:sz w:val="20"/>
          <w:szCs w:val="20"/>
          <w:lang w:val="de-CH"/>
        </w:rPr>
        <w:t xml:space="preserve">Die Lohnscheren in den Unternehmen haben sich wieder stark geöffnet und befinden sich auf dem höchsten Stand der letzten fünf Jahre. Bei der Credit Suisse steigt die Lohnschere auf 1:363. Die neue Führung dreht kräftig an der Bonispirale und viele Unternehmen ziehen mit. </w:t>
      </w:r>
      <w:r w:rsidR="001E6F74" w:rsidRPr="00DD6B43">
        <w:rPr>
          <w:rFonts w:ascii="Arial" w:hAnsi="Arial" w:cs="Arial"/>
          <w:b/>
          <w:sz w:val="20"/>
          <w:szCs w:val="20"/>
          <w:lang w:val="de-CH"/>
        </w:rPr>
        <w:t>E</w:t>
      </w:r>
      <w:r w:rsidR="00053100" w:rsidRPr="00DD6B43">
        <w:rPr>
          <w:rFonts w:ascii="Arial" w:hAnsi="Arial" w:cs="Arial"/>
          <w:b/>
          <w:sz w:val="20"/>
          <w:szCs w:val="20"/>
          <w:lang w:val="de-CH"/>
        </w:rPr>
        <w:t>in dämpfender Einfluss auf die Entschädigungen durch die Annahme der Abzockerinitiat</w:t>
      </w:r>
      <w:r w:rsidR="0082263F" w:rsidRPr="00DD6B43">
        <w:rPr>
          <w:rFonts w:ascii="Arial" w:hAnsi="Arial" w:cs="Arial"/>
          <w:b/>
          <w:sz w:val="20"/>
          <w:szCs w:val="20"/>
          <w:lang w:val="de-CH"/>
        </w:rPr>
        <w:t>ive lässt sich</w:t>
      </w:r>
      <w:r w:rsidR="00053100" w:rsidRPr="00DD6B43">
        <w:rPr>
          <w:rFonts w:ascii="Arial" w:hAnsi="Arial" w:cs="Arial"/>
          <w:b/>
          <w:sz w:val="20"/>
          <w:szCs w:val="20"/>
          <w:lang w:val="de-CH"/>
        </w:rPr>
        <w:t xml:space="preserve"> nicht feststellen.</w:t>
      </w:r>
      <w:r w:rsidR="001E6F74" w:rsidRPr="00DD6B43">
        <w:rPr>
          <w:rFonts w:ascii="Arial" w:hAnsi="Arial" w:cs="Arial"/>
          <w:b/>
          <w:sz w:val="20"/>
          <w:szCs w:val="20"/>
          <w:lang w:val="de-CH"/>
        </w:rPr>
        <w:t xml:space="preserve"> Ebenso sind d</w:t>
      </w:r>
      <w:r w:rsidR="00053100" w:rsidRPr="00DD6B43">
        <w:rPr>
          <w:rFonts w:ascii="Arial" w:hAnsi="Arial" w:cs="Arial"/>
          <w:b/>
          <w:sz w:val="20"/>
          <w:szCs w:val="20"/>
          <w:lang w:val="de-CH"/>
        </w:rPr>
        <w:t xml:space="preserve">ie Vergütungsabstimmungen </w:t>
      </w:r>
      <w:r w:rsidR="0082263F" w:rsidRPr="00DD6B43">
        <w:rPr>
          <w:rFonts w:ascii="Arial" w:hAnsi="Arial" w:cs="Arial"/>
          <w:b/>
          <w:sz w:val="20"/>
          <w:szCs w:val="20"/>
          <w:lang w:val="de-CH"/>
        </w:rPr>
        <w:t>an den Generalversammlungen</w:t>
      </w:r>
      <w:r w:rsidR="00053100" w:rsidRPr="00DD6B43">
        <w:rPr>
          <w:rFonts w:ascii="Arial" w:hAnsi="Arial" w:cs="Arial"/>
          <w:b/>
          <w:sz w:val="20"/>
          <w:szCs w:val="20"/>
          <w:lang w:val="de-CH"/>
        </w:rPr>
        <w:t xml:space="preserve"> nicht zielführend und es existieren diverse Umgehungsmöglichkeiten. </w:t>
      </w:r>
    </w:p>
    <w:p w:rsidR="00635E2D" w:rsidRPr="00DD6B43" w:rsidRDefault="00635E2D" w:rsidP="00DD6B43">
      <w:pPr>
        <w:spacing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1B28B5" w:rsidRPr="002E1763" w:rsidRDefault="00BD3E00" w:rsidP="002E1763">
      <w:pPr>
        <w:spacing w:line="300" w:lineRule="exact"/>
        <w:rPr>
          <w:rFonts w:ascii="Arial" w:hAnsi="Arial" w:cs="Arial"/>
          <w:i/>
          <w:sz w:val="20"/>
          <w:szCs w:val="20"/>
          <w:lang w:val="de-CH"/>
        </w:rPr>
      </w:pPr>
      <w:r w:rsidRPr="002E1763">
        <w:rPr>
          <w:rFonts w:ascii="Arial" w:hAnsi="Arial" w:cs="Arial"/>
          <w:i/>
          <w:sz w:val="20"/>
          <w:szCs w:val="20"/>
          <w:lang w:val="de-CH"/>
        </w:rPr>
        <w:t xml:space="preserve">Gabriel Fischer, Leiter </w:t>
      </w:r>
      <w:r w:rsidR="00461E42" w:rsidRPr="002E1763">
        <w:rPr>
          <w:rFonts w:ascii="Arial" w:hAnsi="Arial" w:cs="Arial"/>
          <w:i/>
          <w:sz w:val="20"/>
          <w:szCs w:val="20"/>
          <w:lang w:val="de-CH"/>
        </w:rPr>
        <w:t>Wirtschaftspolitik</w:t>
      </w:r>
      <w:r w:rsidR="001B28B5" w:rsidRPr="002E1763">
        <w:rPr>
          <w:rFonts w:ascii="Arial" w:hAnsi="Arial" w:cs="Arial"/>
          <w:i/>
          <w:sz w:val="20"/>
          <w:szCs w:val="20"/>
          <w:lang w:val="de-CH"/>
        </w:rPr>
        <w:t xml:space="preserve"> Travail.Suisse</w:t>
      </w:r>
    </w:p>
    <w:p w:rsidR="001B28B5" w:rsidRPr="00DD6B43" w:rsidRDefault="001B28B5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C96213" w:rsidRPr="00DD6B43" w:rsidRDefault="00BD3E00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  <w:r w:rsidRPr="00DD6B43">
        <w:rPr>
          <w:rFonts w:ascii="Arial" w:hAnsi="Arial" w:cs="Arial"/>
          <w:sz w:val="20"/>
          <w:szCs w:val="20"/>
          <w:lang w:val="de-CH"/>
        </w:rPr>
        <w:t>Seit mehr als zehn Jahren untersucht Travail.Suisse die</w:t>
      </w:r>
      <w:r w:rsidR="00F01DD6" w:rsidRPr="00DD6B43">
        <w:rPr>
          <w:rFonts w:ascii="Arial" w:hAnsi="Arial" w:cs="Arial"/>
          <w:sz w:val="20"/>
          <w:szCs w:val="20"/>
          <w:lang w:val="de-CH"/>
        </w:rPr>
        <w:t xml:space="preserve"> Löhne der Topmanager in 27 Schweizer Unt</w:t>
      </w:r>
      <w:r w:rsidR="00D118D1" w:rsidRPr="00DD6B43">
        <w:rPr>
          <w:rFonts w:ascii="Arial" w:hAnsi="Arial" w:cs="Arial"/>
          <w:sz w:val="20"/>
          <w:szCs w:val="20"/>
          <w:lang w:val="de-CH"/>
        </w:rPr>
        <w:t>ernehmen</w:t>
      </w:r>
      <w:r w:rsidRPr="00DD6B43">
        <w:rPr>
          <w:rFonts w:ascii="Arial" w:hAnsi="Arial" w:cs="Arial"/>
          <w:sz w:val="20"/>
          <w:szCs w:val="20"/>
          <w:lang w:val="de-CH"/>
        </w:rPr>
        <w:t xml:space="preserve"> und damit zusammenhängend die Entwicklung der Lohnschere als Verhältnis zwischen dem höchsten und dem tiefsten Lohn</w:t>
      </w:r>
      <w:r w:rsidR="00C0206C"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 w:rsidRPr="00DD6B43">
        <w:rPr>
          <w:rFonts w:ascii="Arial" w:hAnsi="Arial" w:cs="Arial"/>
          <w:sz w:val="20"/>
          <w:szCs w:val="20"/>
          <w:lang w:val="de-CH"/>
        </w:rPr>
        <w:t>innerhalb der Unternehmen</w:t>
      </w:r>
      <w:r w:rsidR="003F4F1A" w:rsidRPr="00DD6B43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694117" w:rsidRPr="00DD6B43" w:rsidRDefault="00694117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B30F94" w:rsidRPr="00DD6B43" w:rsidRDefault="00B30F94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B30F94" w:rsidRPr="00DD6B43" w:rsidRDefault="00B30F94" w:rsidP="00DD6B43">
      <w:pPr>
        <w:spacing w:line="300" w:lineRule="exact"/>
        <w:rPr>
          <w:rFonts w:ascii="Arial" w:hAnsi="Arial" w:cs="Arial"/>
          <w:b/>
          <w:sz w:val="20"/>
          <w:szCs w:val="20"/>
          <w:lang w:val="de-CH"/>
        </w:rPr>
      </w:pPr>
      <w:r w:rsidRPr="00DD6B43">
        <w:rPr>
          <w:rFonts w:ascii="Arial" w:hAnsi="Arial" w:cs="Arial"/>
          <w:b/>
          <w:sz w:val="20"/>
          <w:szCs w:val="20"/>
          <w:lang w:val="de-CH"/>
        </w:rPr>
        <w:t>Höchstlö</w:t>
      </w:r>
      <w:r w:rsidR="00DB435D" w:rsidRPr="00DD6B43">
        <w:rPr>
          <w:rFonts w:ascii="Arial" w:hAnsi="Arial" w:cs="Arial"/>
          <w:b/>
          <w:sz w:val="20"/>
          <w:szCs w:val="20"/>
          <w:lang w:val="de-CH"/>
        </w:rPr>
        <w:t>hne: Die Chefetagen gewähr</w:t>
      </w:r>
      <w:r w:rsidR="008A6FB3" w:rsidRPr="00DD6B43">
        <w:rPr>
          <w:rFonts w:ascii="Arial" w:hAnsi="Arial" w:cs="Arial"/>
          <w:b/>
          <w:sz w:val="20"/>
          <w:szCs w:val="20"/>
          <w:lang w:val="de-CH"/>
        </w:rPr>
        <w:t>t</w:t>
      </w:r>
      <w:r w:rsidR="00DB435D" w:rsidRPr="00DD6B43">
        <w:rPr>
          <w:rFonts w:ascii="Arial" w:hAnsi="Arial" w:cs="Arial"/>
          <w:b/>
          <w:sz w:val="20"/>
          <w:szCs w:val="20"/>
          <w:lang w:val="de-CH"/>
        </w:rPr>
        <w:t>en sich satte Salärerhöhungen</w:t>
      </w:r>
    </w:p>
    <w:p w:rsidR="00B30F94" w:rsidRPr="00DD6B43" w:rsidRDefault="00B30F94" w:rsidP="00DD6B43">
      <w:pPr>
        <w:spacing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B36416" w:rsidRPr="00DD6B43" w:rsidRDefault="00B36416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  <w:r w:rsidRPr="00DD6B43">
        <w:rPr>
          <w:rFonts w:ascii="Arial" w:hAnsi="Arial" w:cs="Arial"/>
          <w:sz w:val="20"/>
          <w:szCs w:val="20"/>
          <w:lang w:val="de-CH"/>
        </w:rPr>
        <w:t>Die Cheflöhne haben 2015 einen grossen Sprung nach oben gemacht. Die CEO’s von 22 Unternehmen erhalten eine grösse</w:t>
      </w:r>
      <w:r w:rsidR="008E06E8">
        <w:rPr>
          <w:rFonts w:ascii="Arial" w:hAnsi="Arial" w:cs="Arial"/>
          <w:sz w:val="20"/>
          <w:szCs w:val="20"/>
          <w:lang w:val="de-CH"/>
        </w:rPr>
        <w:t>re Entschädigung, lediglich in fünf</w:t>
      </w:r>
      <w:r w:rsidRPr="00DD6B43">
        <w:rPr>
          <w:rFonts w:ascii="Arial" w:hAnsi="Arial" w:cs="Arial"/>
          <w:sz w:val="20"/>
          <w:szCs w:val="20"/>
          <w:lang w:val="de-CH"/>
        </w:rPr>
        <w:t xml:space="preserve"> Unternehmen fällt die Höchstentschädigung tiefer aus als im Vorjahr. Im Schnitt sind </w:t>
      </w:r>
      <w:r w:rsidR="001B1956" w:rsidRPr="00DD6B43">
        <w:rPr>
          <w:rFonts w:ascii="Arial" w:hAnsi="Arial" w:cs="Arial"/>
          <w:sz w:val="20"/>
          <w:szCs w:val="20"/>
          <w:lang w:val="de-CH"/>
        </w:rPr>
        <w:t xml:space="preserve">die Bezüge der Chefs um </w:t>
      </w:r>
      <w:r w:rsidR="008E06E8">
        <w:rPr>
          <w:rFonts w:ascii="Arial" w:hAnsi="Arial" w:cs="Arial"/>
          <w:sz w:val="20"/>
          <w:szCs w:val="20"/>
          <w:lang w:val="de-CH"/>
        </w:rPr>
        <w:t>satte 9</w:t>
      </w:r>
      <w:r w:rsidRPr="00DD6B43">
        <w:rPr>
          <w:rFonts w:ascii="Arial" w:hAnsi="Arial" w:cs="Arial"/>
          <w:sz w:val="20"/>
          <w:szCs w:val="20"/>
          <w:lang w:val="de-CH"/>
        </w:rPr>
        <w:t>% gestiegen</w:t>
      </w:r>
      <w:r w:rsidR="00D83F3A" w:rsidRPr="00DD6B43">
        <w:rPr>
          <w:rFonts w:ascii="Arial" w:hAnsi="Arial" w:cs="Arial"/>
          <w:sz w:val="20"/>
          <w:szCs w:val="20"/>
          <w:lang w:val="de-CH"/>
        </w:rPr>
        <w:t>. Spitzenreiter ist Tidjane Thiam von der Credit Suisse. Dieser erhielt neben seinem Fixgehalt und dem Bonus auch eine Kompensation der B</w:t>
      </w:r>
      <w:r w:rsidR="004015AE" w:rsidRPr="00DD6B43">
        <w:rPr>
          <w:rFonts w:ascii="Arial" w:hAnsi="Arial" w:cs="Arial"/>
          <w:sz w:val="20"/>
          <w:szCs w:val="20"/>
          <w:lang w:val="de-CH"/>
        </w:rPr>
        <w:t>onusansprüche, die ihm aufgrund seines Wechsels zu</w:t>
      </w:r>
      <w:r w:rsidR="008E06E8">
        <w:rPr>
          <w:rFonts w:ascii="Arial" w:hAnsi="Arial" w:cs="Arial"/>
          <w:sz w:val="20"/>
          <w:szCs w:val="20"/>
          <w:lang w:val="de-CH"/>
        </w:rPr>
        <w:t>r CS bei seinem früheren Arbeit</w:t>
      </w:r>
      <w:r w:rsidR="004015AE" w:rsidRPr="00DD6B43">
        <w:rPr>
          <w:rFonts w:ascii="Arial" w:hAnsi="Arial" w:cs="Arial"/>
          <w:sz w:val="20"/>
          <w:szCs w:val="20"/>
          <w:lang w:val="de-CH"/>
        </w:rPr>
        <w:t>geber zukünftig entgehen. Alles zusammengenommen und auf ein Jahr hochgerechnet, hat Thiam im 2015 über 20 Mio. Franken erhalten (+117% gegenüber dem Vorjahr). Daneben haben 2015 aber auch Lonza (+58%), Valora (+54%), UBS (+28%), Kuoni (+23%), Georg Fischer (+22%) und ABB (+20%) deutlich an der Bonispirale gedreht</w:t>
      </w:r>
      <w:r w:rsidR="00DD6B43">
        <w:rPr>
          <w:rFonts w:ascii="Arial" w:hAnsi="Arial" w:cs="Arial"/>
          <w:sz w:val="20"/>
          <w:szCs w:val="20"/>
          <w:lang w:val="de-CH"/>
        </w:rPr>
        <w:t>.</w:t>
      </w:r>
    </w:p>
    <w:p w:rsidR="004015AE" w:rsidRPr="00DD6B43" w:rsidRDefault="004015AE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4015AE" w:rsidRPr="00DD6B43" w:rsidRDefault="004015AE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  <w:r w:rsidRPr="00DD6B43">
        <w:rPr>
          <w:rFonts w:ascii="Arial" w:hAnsi="Arial" w:cs="Arial"/>
          <w:sz w:val="20"/>
          <w:szCs w:val="20"/>
          <w:lang w:val="de-CH"/>
        </w:rPr>
        <w:t xml:space="preserve">Diese Zunahme der Managerlöhne hat </w:t>
      </w:r>
      <w:r w:rsidR="00752FC2" w:rsidRPr="00DD6B43">
        <w:rPr>
          <w:rFonts w:ascii="Arial" w:hAnsi="Arial" w:cs="Arial"/>
          <w:sz w:val="20"/>
          <w:szCs w:val="20"/>
          <w:lang w:val="de-CH"/>
        </w:rPr>
        <w:t>zu einer verbreiteten Öffnung der Lohnschere geführt</w:t>
      </w:r>
      <w:r w:rsidR="00DD6B43">
        <w:rPr>
          <w:rFonts w:ascii="Arial" w:hAnsi="Arial" w:cs="Arial"/>
          <w:sz w:val="20"/>
          <w:szCs w:val="20"/>
          <w:lang w:val="de-CH"/>
        </w:rPr>
        <w:t>:</w:t>
      </w:r>
      <w:r w:rsidR="00752FC2" w:rsidRPr="00DD6B43">
        <w:rPr>
          <w:rFonts w:ascii="Arial" w:hAnsi="Arial" w:cs="Arial"/>
          <w:sz w:val="20"/>
          <w:szCs w:val="20"/>
          <w:lang w:val="de-CH"/>
        </w:rPr>
        <w:t xml:space="preserve"> In 19 Unternehmen hat sich die Lohnschere letztes Jahr geöffnet, in drei ist sie stabil geblieben und ledi</w:t>
      </w:r>
      <w:r w:rsidR="008E06E8">
        <w:rPr>
          <w:rFonts w:ascii="Arial" w:hAnsi="Arial" w:cs="Arial"/>
          <w:sz w:val="20"/>
          <w:szCs w:val="20"/>
          <w:lang w:val="de-CH"/>
        </w:rPr>
        <w:t>glich in fünf</w:t>
      </w:r>
      <w:r w:rsidR="00752FC2" w:rsidRPr="00DD6B43">
        <w:rPr>
          <w:rFonts w:ascii="Arial" w:hAnsi="Arial" w:cs="Arial"/>
          <w:sz w:val="20"/>
          <w:szCs w:val="20"/>
          <w:lang w:val="de-CH"/>
        </w:rPr>
        <w:t xml:space="preserve"> Unternehmen ist eine leichte Schliessung der Lohnschere zu beobachten</w:t>
      </w:r>
      <w:r w:rsidR="00DD6B43">
        <w:rPr>
          <w:rFonts w:ascii="Arial" w:hAnsi="Arial" w:cs="Arial"/>
          <w:sz w:val="20"/>
          <w:szCs w:val="20"/>
          <w:lang w:val="de-CH"/>
        </w:rPr>
        <w:t>.</w:t>
      </w:r>
    </w:p>
    <w:p w:rsidR="00D60693" w:rsidRPr="00DD6B43" w:rsidRDefault="00D60693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AB427C" w:rsidRPr="00DD6B43" w:rsidRDefault="008E06E8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Auch bei den übrigen Mitgliedern der Konzernleitungen sind 2015 die Entschädigungen deutlich stärker gestiegen als bei den tiefsten Einkommen.</w:t>
      </w:r>
      <w:r w:rsidR="00B34FB6" w:rsidRPr="00DD6B43">
        <w:rPr>
          <w:rFonts w:ascii="Arial" w:hAnsi="Arial" w:cs="Arial"/>
          <w:sz w:val="20"/>
          <w:szCs w:val="20"/>
          <w:lang w:val="de-CH"/>
        </w:rPr>
        <w:t xml:space="preserve"> In </w:t>
      </w:r>
      <w:r w:rsidR="00B730F7" w:rsidRPr="00DD6B43">
        <w:rPr>
          <w:rFonts w:ascii="Arial" w:hAnsi="Arial" w:cs="Arial"/>
          <w:sz w:val="20"/>
          <w:szCs w:val="20"/>
          <w:lang w:val="de-CH"/>
        </w:rPr>
        <w:t>17</w:t>
      </w:r>
      <w:r w:rsidR="00B34FB6" w:rsidRPr="00DD6B43">
        <w:rPr>
          <w:rFonts w:ascii="Arial" w:hAnsi="Arial" w:cs="Arial"/>
          <w:sz w:val="20"/>
          <w:szCs w:val="20"/>
          <w:lang w:val="de-CH"/>
        </w:rPr>
        <w:t xml:space="preserve"> Unternehmen wurden teils massive Erhöhungen der Salär</w:t>
      </w:r>
      <w:r w:rsidR="008A6FB3" w:rsidRPr="00DD6B43">
        <w:rPr>
          <w:rFonts w:ascii="Arial" w:hAnsi="Arial" w:cs="Arial"/>
          <w:sz w:val="20"/>
          <w:szCs w:val="20"/>
          <w:lang w:val="de-CH"/>
        </w:rPr>
        <w:t>e ihrer zweiten Garde</w:t>
      </w:r>
      <w:r>
        <w:rPr>
          <w:rFonts w:ascii="Arial" w:hAnsi="Arial" w:cs="Arial"/>
          <w:sz w:val="20"/>
          <w:szCs w:val="20"/>
          <w:lang w:val="de-CH"/>
        </w:rPr>
        <w:t xml:space="preserve"> beschlossen</w:t>
      </w:r>
      <w:r w:rsidR="00B34FB6" w:rsidRPr="00DD6B43">
        <w:rPr>
          <w:rFonts w:ascii="Arial" w:hAnsi="Arial" w:cs="Arial"/>
          <w:sz w:val="20"/>
          <w:szCs w:val="20"/>
          <w:lang w:val="de-CH"/>
        </w:rPr>
        <w:t>. Als Hau</w:t>
      </w:r>
      <w:r w:rsidR="00B730F7" w:rsidRPr="00DD6B43">
        <w:rPr>
          <w:rFonts w:ascii="Arial" w:hAnsi="Arial" w:cs="Arial"/>
          <w:sz w:val="20"/>
          <w:szCs w:val="20"/>
          <w:lang w:val="de-CH"/>
        </w:rPr>
        <w:t>pttreiber fallen hier Kuoni (+57</w:t>
      </w:r>
      <w:r w:rsidR="00B34FB6" w:rsidRPr="00DD6B43">
        <w:rPr>
          <w:rFonts w:ascii="Arial" w:hAnsi="Arial" w:cs="Arial"/>
          <w:sz w:val="20"/>
          <w:szCs w:val="20"/>
          <w:lang w:val="de-CH"/>
        </w:rPr>
        <w:t>%),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 Valo</w:t>
      </w:r>
      <w:r w:rsidR="00B730F7" w:rsidRPr="00DD6B43">
        <w:rPr>
          <w:rFonts w:ascii="Arial" w:hAnsi="Arial" w:cs="Arial"/>
          <w:sz w:val="20"/>
          <w:szCs w:val="20"/>
          <w:lang w:val="de-CH"/>
        </w:rPr>
        <w:t>ra (+35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%) und </w:t>
      </w:r>
      <w:r w:rsidR="00B730F7" w:rsidRPr="00DD6B43">
        <w:rPr>
          <w:rFonts w:ascii="Arial" w:hAnsi="Arial" w:cs="Arial"/>
          <w:sz w:val="20"/>
          <w:szCs w:val="20"/>
          <w:lang w:val="de-CH"/>
        </w:rPr>
        <w:t>Swiss Life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 (+27%) auf</w:t>
      </w:r>
      <w:r w:rsidR="002E1763">
        <w:rPr>
          <w:rFonts w:ascii="Arial" w:hAnsi="Arial" w:cs="Arial"/>
          <w:sz w:val="20"/>
          <w:szCs w:val="20"/>
          <w:lang w:val="de-CH"/>
        </w:rPr>
        <w:t>.</w:t>
      </w:r>
    </w:p>
    <w:p w:rsidR="00B30F94" w:rsidRPr="00DD6B43" w:rsidRDefault="008E06E8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gibt 18</w:t>
      </w:r>
      <w:r w:rsidR="001217B5" w:rsidRPr="00DD6B43">
        <w:rPr>
          <w:rFonts w:ascii="Arial" w:hAnsi="Arial" w:cs="Arial"/>
          <w:sz w:val="20"/>
          <w:szCs w:val="20"/>
          <w:lang w:val="de-CH"/>
        </w:rPr>
        <w:t xml:space="preserve"> Unternehmen, in </w:t>
      </w:r>
      <w:r>
        <w:rPr>
          <w:rFonts w:ascii="Arial" w:hAnsi="Arial" w:cs="Arial"/>
          <w:sz w:val="20"/>
          <w:szCs w:val="20"/>
          <w:lang w:val="de-CH"/>
        </w:rPr>
        <w:t>welchen</w:t>
      </w:r>
      <w:r w:rsidR="001217B5" w:rsidRPr="00DD6B43">
        <w:rPr>
          <w:rFonts w:ascii="Arial" w:hAnsi="Arial" w:cs="Arial"/>
          <w:sz w:val="20"/>
          <w:szCs w:val="20"/>
          <w:lang w:val="de-CH"/>
        </w:rPr>
        <w:t xml:space="preserve"> Mitglieder der Konzernleitung</w:t>
      </w:r>
      <w:r>
        <w:rPr>
          <w:rFonts w:ascii="Arial" w:hAnsi="Arial" w:cs="Arial"/>
          <w:sz w:val="20"/>
          <w:szCs w:val="20"/>
          <w:lang w:val="de-CH"/>
        </w:rPr>
        <w:t xml:space="preserve"> oder des Verwaltungsrates</w:t>
      </w:r>
      <w:r w:rsidR="00044DE9" w:rsidRPr="00DD6B43">
        <w:rPr>
          <w:rFonts w:ascii="Arial" w:hAnsi="Arial" w:cs="Arial"/>
          <w:sz w:val="20"/>
          <w:szCs w:val="20"/>
          <w:lang w:val="de-CH"/>
        </w:rPr>
        <w:t xml:space="preserve"> über 2 Mio. Franken kassier</w:t>
      </w:r>
      <w:r w:rsidR="001217B5" w:rsidRPr="00DD6B43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; gesamthaft </w:t>
      </w:r>
      <w:r w:rsidR="001217B5" w:rsidRPr="00DD6B43">
        <w:rPr>
          <w:rFonts w:ascii="Arial" w:hAnsi="Arial" w:cs="Arial"/>
          <w:sz w:val="20"/>
          <w:szCs w:val="20"/>
          <w:lang w:val="de-CH"/>
        </w:rPr>
        <w:t>entspricht dies 130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 Managern.</w:t>
      </w:r>
      <w:r w:rsidR="00044DE9"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39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 davon finden sich im Lohnkartell </w:t>
      </w:r>
      <w:r w:rsidR="00AB427C" w:rsidRPr="00DD6B43">
        <w:rPr>
          <w:rFonts w:ascii="Arial" w:hAnsi="Arial" w:cs="Arial"/>
          <w:sz w:val="20"/>
          <w:szCs w:val="20"/>
          <w:lang w:val="de-CH"/>
        </w:rPr>
        <w:lastRenderedPageBreak/>
        <w:t>von Travail.Suisse wieder</w:t>
      </w:r>
      <w:r w:rsidR="00B30F94" w:rsidRPr="00DD6B43">
        <w:rPr>
          <w:rFonts w:ascii="Arial" w:hAnsi="Arial" w:cs="Arial"/>
          <w:sz w:val="20"/>
          <w:szCs w:val="20"/>
          <w:lang w:val="de-CH"/>
        </w:rPr>
        <w:t>.</w:t>
      </w:r>
      <w:r w:rsidR="0082263F"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 w:rsidR="00B30F94" w:rsidRPr="00DD6B43">
        <w:rPr>
          <w:rFonts w:ascii="Arial" w:hAnsi="Arial" w:cs="Arial"/>
          <w:sz w:val="20"/>
          <w:szCs w:val="20"/>
          <w:lang w:val="de-CH"/>
        </w:rPr>
        <w:t>Das Lohnkartell bildet die Riege der Manager ab, die über 100mal mehr verdienen als ihre Mitarbeiter</w:t>
      </w:r>
      <w:r w:rsidR="002C7362" w:rsidRPr="00DD6B43">
        <w:rPr>
          <w:rFonts w:ascii="Arial" w:hAnsi="Arial" w:cs="Arial"/>
          <w:sz w:val="20"/>
          <w:szCs w:val="20"/>
          <w:lang w:val="de-CH"/>
        </w:rPr>
        <w:t>Innen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. Das Lohnkartell macht </w:t>
      </w:r>
      <w:r w:rsidR="00B30F94" w:rsidRPr="00DD6B43">
        <w:rPr>
          <w:rFonts w:ascii="Arial" w:hAnsi="Arial" w:cs="Arial"/>
          <w:sz w:val="20"/>
          <w:szCs w:val="20"/>
          <w:lang w:val="de-CH"/>
        </w:rPr>
        <w:t xml:space="preserve">deutlich, dass die unverschämten Saläre Tatsache bleiben. </w:t>
      </w:r>
      <w:r w:rsidR="00AB427C" w:rsidRPr="00DD6B43">
        <w:rPr>
          <w:rFonts w:ascii="Arial" w:hAnsi="Arial" w:cs="Arial"/>
          <w:sz w:val="20"/>
          <w:szCs w:val="20"/>
          <w:lang w:val="de-CH"/>
        </w:rPr>
        <w:t>D</w:t>
      </w:r>
      <w:r w:rsidR="00B30F94" w:rsidRPr="00DD6B43">
        <w:rPr>
          <w:rFonts w:ascii="Arial" w:hAnsi="Arial" w:cs="Arial"/>
          <w:sz w:val="20"/>
          <w:szCs w:val="20"/>
          <w:lang w:val="de-CH"/>
        </w:rPr>
        <w:t>ie beiden Grossban</w:t>
      </w:r>
      <w:r w:rsidR="00AB427C" w:rsidRPr="00DD6B43">
        <w:rPr>
          <w:rFonts w:ascii="Arial" w:hAnsi="Arial" w:cs="Arial"/>
          <w:sz w:val="20"/>
          <w:szCs w:val="20"/>
          <w:lang w:val="de-CH"/>
        </w:rPr>
        <w:t>ken UBS und Credit</w:t>
      </w:r>
      <w:r w:rsidR="003721F2" w:rsidRPr="00DD6B43">
        <w:rPr>
          <w:rFonts w:ascii="Arial" w:hAnsi="Arial" w:cs="Arial"/>
          <w:sz w:val="20"/>
          <w:szCs w:val="20"/>
          <w:lang w:val="de-CH"/>
        </w:rPr>
        <w:t xml:space="preserve"> Suisse</w:t>
      </w:r>
      <w:r w:rsidR="00AB427C" w:rsidRPr="00DD6B43">
        <w:rPr>
          <w:rFonts w:ascii="Arial" w:hAnsi="Arial" w:cs="Arial"/>
          <w:sz w:val="20"/>
          <w:szCs w:val="20"/>
          <w:lang w:val="de-CH"/>
        </w:rPr>
        <w:t xml:space="preserve"> stellen die Mehrheit</w:t>
      </w:r>
      <w:r w:rsidR="003721F2"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 w:rsidR="00B30F94" w:rsidRPr="00DD6B43">
        <w:rPr>
          <w:rFonts w:ascii="Arial" w:hAnsi="Arial" w:cs="Arial"/>
          <w:sz w:val="20"/>
          <w:szCs w:val="20"/>
          <w:lang w:val="de-CH"/>
        </w:rPr>
        <w:t>dieser abgehobenen Managerkaste.</w:t>
      </w:r>
      <w:r w:rsidR="00E85FF9" w:rsidRPr="00DD6B43">
        <w:rPr>
          <w:rFonts w:ascii="Arial" w:hAnsi="Arial" w:cs="Arial"/>
          <w:sz w:val="20"/>
          <w:szCs w:val="20"/>
          <w:lang w:val="de-CH"/>
        </w:rPr>
        <w:t xml:space="preserve"> Neben Tidjane Thiam (CS) und Sergio Ermotti (UBS) finden sich aber auch Severin Schwan (Roche), Paul Bulcke (Nestlé), Ulrich Spiesshofer (ABB), Joseph Jimenez (Novartis) und Ernst Tanner (Lindt&amp;Sprüngli)</w:t>
      </w:r>
      <w:r w:rsidR="00B30F94"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 w:rsidR="00E85FF9" w:rsidRPr="00DD6B43">
        <w:rPr>
          <w:rFonts w:ascii="Arial" w:hAnsi="Arial" w:cs="Arial"/>
          <w:sz w:val="20"/>
          <w:szCs w:val="20"/>
          <w:lang w:val="de-CH"/>
        </w:rPr>
        <w:t>auf den vordersten Plätzen im Lohnkartell</w:t>
      </w:r>
      <w:r w:rsidR="00DD6B43" w:rsidRPr="008E06E8">
        <w:rPr>
          <w:rFonts w:ascii="Arial" w:hAnsi="Arial" w:cs="Arial"/>
          <w:sz w:val="20"/>
          <w:szCs w:val="20"/>
          <w:lang w:val="de-CH"/>
        </w:rPr>
        <w:t>.</w:t>
      </w:r>
    </w:p>
    <w:p w:rsidR="002931B9" w:rsidRPr="00DD6B43" w:rsidRDefault="002931B9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2C2675" w:rsidRPr="00DD6B43" w:rsidRDefault="002C2675" w:rsidP="00DD6B43">
      <w:pPr>
        <w:spacing w:line="300" w:lineRule="exact"/>
        <w:rPr>
          <w:rFonts w:ascii="Arial" w:hAnsi="Arial" w:cs="Arial"/>
          <w:b/>
          <w:i/>
          <w:sz w:val="20"/>
          <w:szCs w:val="20"/>
          <w:lang w:val="de-CH"/>
        </w:rPr>
      </w:pPr>
    </w:p>
    <w:p w:rsidR="005808AD" w:rsidRPr="00DD6B43" w:rsidRDefault="004015AE" w:rsidP="00DD6B43">
      <w:pPr>
        <w:spacing w:line="300" w:lineRule="exact"/>
        <w:rPr>
          <w:rFonts w:ascii="Arial" w:hAnsi="Arial" w:cs="Arial"/>
          <w:b/>
          <w:sz w:val="20"/>
          <w:szCs w:val="20"/>
          <w:lang w:val="de-CH"/>
        </w:rPr>
      </w:pPr>
      <w:r w:rsidRPr="00DD6B43">
        <w:rPr>
          <w:rFonts w:ascii="Arial" w:hAnsi="Arial" w:cs="Arial"/>
          <w:b/>
          <w:sz w:val="20"/>
          <w:szCs w:val="20"/>
          <w:lang w:val="de-CH"/>
        </w:rPr>
        <w:t xml:space="preserve">Kontinuierliche Zunahme </w:t>
      </w:r>
      <w:r w:rsidR="003721F2" w:rsidRPr="00DD6B43">
        <w:rPr>
          <w:rFonts w:ascii="Arial" w:hAnsi="Arial" w:cs="Arial"/>
          <w:b/>
          <w:sz w:val="20"/>
          <w:szCs w:val="20"/>
          <w:lang w:val="de-CH"/>
        </w:rPr>
        <w:t>seit 2011</w:t>
      </w:r>
      <w:r w:rsidRPr="00DD6B43">
        <w:rPr>
          <w:rFonts w:ascii="Arial" w:hAnsi="Arial" w:cs="Arial"/>
          <w:b/>
          <w:sz w:val="20"/>
          <w:szCs w:val="20"/>
          <w:lang w:val="de-CH"/>
        </w:rPr>
        <w:t xml:space="preserve"> – Kein dämpfender Effekt der Abzockerinitiative</w:t>
      </w:r>
    </w:p>
    <w:p w:rsidR="007B218D" w:rsidRPr="00DD6B43" w:rsidRDefault="007B218D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</w:p>
    <w:p w:rsidR="00E4002D" w:rsidRPr="00DD6B43" w:rsidRDefault="007B218D" w:rsidP="00DD6B43">
      <w:pPr>
        <w:spacing w:line="300" w:lineRule="exact"/>
        <w:rPr>
          <w:rFonts w:ascii="Arial" w:hAnsi="Arial" w:cs="Arial"/>
          <w:sz w:val="20"/>
          <w:szCs w:val="20"/>
          <w:lang w:val="de-CH"/>
        </w:rPr>
      </w:pPr>
      <w:r w:rsidRPr="00DD6B43">
        <w:rPr>
          <w:rFonts w:ascii="Arial" w:hAnsi="Arial" w:cs="Arial"/>
          <w:sz w:val="20"/>
          <w:szCs w:val="20"/>
          <w:lang w:val="de-CH"/>
        </w:rPr>
        <w:t>Auch beim Mehrjahresvergleich zeigt sich ein deutliches Wachstum</w:t>
      </w:r>
      <w:r w:rsidR="00BD7099" w:rsidRPr="00DD6B43">
        <w:rPr>
          <w:rFonts w:ascii="Arial" w:hAnsi="Arial" w:cs="Arial"/>
          <w:sz w:val="20"/>
          <w:szCs w:val="20"/>
          <w:lang w:val="de-CH"/>
        </w:rPr>
        <w:t xml:space="preserve"> der Managerlöhne in den letzten Jahren. So sind seit 2011 die Bezüge für zwei Drittel der CEO’s und gar für drei Viertel der übrigen Konzernleitungsmitglieder gestiegen</w:t>
      </w:r>
      <w:r w:rsidR="00DB6288" w:rsidRPr="00DD6B43">
        <w:rPr>
          <w:rFonts w:ascii="Arial" w:hAnsi="Arial" w:cs="Arial"/>
          <w:sz w:val="20"/>
          <w:szCs w:val="20"/>
          <w:lang w:val="de-CH"/>
        </w:rPr>
        <w:t xml:space="preserve"> – und zwar durchschnittlich um </w:t>
      </w:r>
      <w:r w:rsidR="001B0E01" w:rsidRPr="00DD6B43">
        <w:rPr>
          <w:rFonts w:ascii="Arial" w:hAnsi="Arial" w:cs="Arial"/>
          <w:sz w:val="20"/>
          <w:szCs w:val="20"/>
          <w:lang w:val="de-CH"/>
        </w:rPr>
        <w:t>21</w:t>
      </w:r>
      <w:r w:rsidR="00DB6288" w:rsidRPr="00DD6B43">
        <w:rPr>
          <w:rFonts w:ascii="Arial" w:hAnsi="Arial" w:cs="Arial"/>
          <w:sz w:val="20"/>
          <w:szCs w:val="20"/>
          <w:lang w:val="de-CH"/>
        </w:rPr>
        <w:t xml:space="preserve">% für die Chefs und um </w:t>
      </w:r>
      <w:r w:rsidR="007328BF" w:rsidRPr="00DD6B43">
        <w:rPr>
          <w:rFonts w:ascii="Arial" w:hAnsi="Arial" w:cs="Arial"/>
          <w:sz w:val="20"/>
          <w:szCs w:val="20"/>
          <w:lang w:val="de-CH"/>
        </w:rPr>
        <w:t>15</w:t>
      </w:r>
      <w:r w:rsidR="00DB6288" w:rsidRPr="00DD6B43">
        <w:rPr>
          <w:rFonts w:ascii="Arial" w:hAnsi="Arial" w:cs="Arial"/>
          <w:sz w:val="20"/>
          <w:szCs w:val="20"/>
          <w:lang w:val="de-CH"/>
        </w:rPr>
        <w:t xml:space="preserve"> % für den Rest der Konzernleitung.</w:t>
      </w:r>
      <w:r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 w:rsidR="00DB6288" w:rsidRPr="00DD6B43">
        <w:rPr>
          <w:rFonts w:ascii="Arial" w:hAnsi="Arial" w:cs="Arial"/>
          <w:sz w:val="20"/>
          <w:szCs w:val="20"/>
          <w:lang w:val="de-CH"/>
        </w:rPr>
        <w:t xml:space="preserve">Folglich hat sich in der klaren Mehrheit der untersuchten Unternehmen die Lohnschere in den letzten Jahren weiter geöffnet. </w:t>
      </w:r>
      <w:r w:rsidR="00D63994" w:rsidRPr="00DD6B43">
        <w:rPr>
          <w:rFonts w:ascii="Arial" w:hAnsi="Arial" w:cs="Arial"/>
          <w:sz w:val="20"/>
          <w:szCs w:val="20"/>
          <w:lang w:val="de-CH"/>
        </w:rPr>
        <w:t>Diese Entwicklung ist keinesfalls nur von den grössten Unternehmen</w:t>
      </w:r>
      <w:r w:rsidR="00482DE0" w:rsidRPr="00DD6B43">
        <w:rPr>
          <w:rFonts w:ascii="Arial" w:hAnsi="Arial" w:cs="Arial"/>
          <w:sz w:val="20"/>
          <w:szCs w:val="20"/>
          <w:lang w:val="de-CH"/>
        </w:rPr>
        <w:t xml:space="preserve"> der Finanz- und Pharmabranche geprägt</w:t>
      </w:r>
      <w:r w:rsidR="00D63994" w:rsidRPr="00DD6B43">
        <w:rPr>
          <w:rFonts w:ascii="Arial" w:hAnsi="Arial" w:cs="Arial"/>
          <w:sz w:val="20"/>
          <w:szCs w:val="20"/>
          <w:lang w:val="de-CH"/>
        </w:rPr>
        <w:t>, sondern</w:t>
      </w:r>
      <w:r w:rsidR="00482DE0" w:rsidRPr="00DD6B43">
        <w:rPr>
          <w:rFonts w:ascii="Arial" w:hAnsi="Arial" w:cs="Arial"/>
          <w:sz w:val="20"/>
          <w:szCs w:val="20"/>
          <w:lang w:val="de-CH"/>
        </w:rPr>
        <w:t xml:space="preserve"> lässt sich quer durch alle Branchen feststellen. </w:t>
      </w:r>
      <w:r w:rsidR="006D1510" w:rsidRPr="00DD6B43">
        <w:rPr>
          <w:rFonts w:ascii="Arial" w:hAnsi="Arial" w:cs="Arial"/>
          <w:sz w:val="20"/>
          <w:szCs w:val="20"/>
          <w:lang w:val="de-CH"/>
        </w:rPr>
        <w:t xml:space="preserve">Beispielhaft für die </w:t>
      </w:r>
      <w:r w:rsidR="00DB6288" w:rsidRPr="00DD6B43">
        <w:rPr>
          <w:rFonts w:ascii="Arial" w:hAnsi="Arial" w:cs="Arial"/>
          <w:sz w:val="20"/>
          <w:szCs w:val="20"/>
          <w:lang w:val="de-CH"/>
        </w:rPr>
        <w:t>Öffnung der Lohnschere</w:t>
      </w:r>
      <w:r w:rsidR="006D1510" w:rsidRPr="00DD6B43">
        <w:rPr>
          <w:rFonts w:ascii="Arial" w:hAnsi="Arial" w:cs="Arial"/>
          <w:sz w:val="20"/>
          <w:szCs w:val="20"/>
          <w:lang w:val="de-CH"/>
        </w:rPr>
        <w:t xml:space="preserve"> der letzten Jahre</w:t>
      </w:r>
      <w:r w:rsidR="00DB6288" w:rsidRPr="00DD6B43">
        <w:rPr>
          <w:rFonts w:ascii="Arial" w:hAnsi="Arial" w:cs="Arial"/>
          <w:sz w:val="20"/>
          <w:szCs w:val="20"/>
          <w:lang w:val="de-CH"/>
        </w:rPr>
        <w:t xml:space="preserve"> stehen</w:t>
      </w:r>
      <w:r w:rsidR="009C42A4" w:rsidRPr="00DD6B43">
        <w:rPr>
          <w:rFonts w:ascii="Arial" w:hAnsi="Arial" w:cs="Arial"/>
          <w:sz w:val="20"/>
          <w:szCs w:val="20"/>
          <w:lang w:val="de-CH"/>
        </w:rPr>
        <w:t xml:space="preserve"> Lonza-Chef</w:t>
      </w:r>
      <w:r w:rsidR="00080BDB" w:rsidRPr="00DD6B43">
        <w:rPr>
          <w:rFonts w:ascii="Arial" w:hAnsi="Arial" w:cs="Arial"/>
          <w:sz w:val="20"/>
          <w:szCs w:val="20"/>
          <w:lang w:val="de-CH"/>
        </w:rPr>
        <w:t xml:space="preserve"> Richard Ridinger (von 1:40 auf 1:72)</w:t>
      </w:r>
      <w:r w:rsidR="009C42A4" w:rsidRPr="00DD6B43">
        <w:rPr>
          <w:rFonts w:ascii="Arial" w:hAnsi="Arial" w:cs="Arial"/>
          <w:sz w:val="20"/>
          <w:szCs w:val="20"/>
          <w:lang w:val="de-CH"/>
        </w:rPr>
        <w:t>, Yves Serra von Georg Fischer (von 1:32 auf 1:50) und Bobst-CEO Jean-Pascal Bobst (von 1:20 auf 1:30) sowie die restlichen Konzernleitungsmitglieder von</w:t>
      </w:r>
      <w:r w:rsidR="001B0E01" w:rsidRPr="00DD6B43">
        <w:rPr>
          <w:rFonts w:ascii="Arial" w:hAnsi="Arial" w:cs="Arial"/>
          <w:sz w:val="20"/>
          <w:szCs w:val="20"/>
          <w:lang w:val="de-CH"/>
        </w:rPr>
        <w:t xml:space="preserve"> </w:t>
      </w:r>
      <w:r w:rsidR="007328BF" w:rsidRPr="00DD6B43">
        <w:rPr>
          <w:rFonts w:ascii="Arial" w:hAnsi="Arial" w:cs="Arial"/>
          <w:sz w:val="20"/>
          <w:szCs w:val="20"/>
          <w:lang w:val="de-CH"/>
        </w:rPr>
        <w:t xml:space="preserve">Valora (von 1:12 auf 1:25), Kuoni (von 1:29 auf 1: 47) und </w:t>
      </w:r>
      <w:r w:rsidR="00080BDB" w:rsidRPr="00DD6B43">
        <w:rPr>
          <w:rFonts w:ascii="Arial" w:hAnsi="Arial" w:cs="Arial"/>
          <w:sz w:val="20"/>
          <w:szCs w:val="20"/>
          <w:lang w:val="de-CH"/>
        </w:rPr>
        <w:t>Lindt&amp;Sprüngli (von1:34 auf 1:48</w:t>
      </w:r>
      <w:r w:rsidR="007328BF" w:rsidRPr="00DD6B43">
        <w:rPr>
          <w:rFonts w:ascii="Arial" w:hAnsi="Arial" w:cs="Arial"/>
          <w:sz w:val="20"/>
          <w:szCs w:val="20"/>
          <w:lang w:val="de-CH"/>
        </w:rPr>
        <w:t>)</w:t>
      </w:r>
      <w:r w:rsidR="00DD6B43">
        <w:rPr>
          <w:rFonts w:ascii="Arial" w:hAnsi="Arial" w:cs="Arial"/>
          <w:sz w:val="20"/>
          <w:szCs w:val="20"/>
          <w:lang w:val="de-CH"/>
        </w:rPr>
        <w:t>.</w:t>
      </w:r>
    </w:p>
    <w:p w:rsidR="00035C66" w:rsidRPr="00DD6B43" w:rsidRDefault="00035C66" w:rsidP="00DD6B4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550828" w:rsidRPr="00DD6B43" w:rsidRDefault="007328BF" w:rsidP="00DD6B4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DD6B43">
        <w:rPr>
          <w:rFonts w:ascii="Arial" w:hAnsi="Arial" w:cs="Arial"/>
          <w:bCs/>
          <w:sz w:val="20"/>
          <w:szCs w:val="20"/>
        </w:rPr>
        <w:t>Diese Zahlen belegen eindrücklich die Entwicklung der Managerlöhne</w:t>
      </w:r>
      <w:r w:rsidR="00A35A3C" w:rsidRPr="00DD6B43">
        <w:rPr>
          <w:rFonts w:ascii="Arial" w:hAnsi="Arial" w:cs="Arial"/>
          <w:bCs/>
          <w:sz w:val="20"/>
          <w:szCs w:val="20"/>
        </w:rPr>
        <w:t xml:space="preserve"> und es wird klar, dass</w:t>
      </w:r>
      <w:r w:rsidRPr="00DD6B43">
        <w:rPr>
          <w:rFonts w:ascii="Arial" w:hAnsi="Arial" w:cs="Arial"/>
          <w:bCs/>
          <w:sz w:val="20"/>
          <w:szCs w:val="20"/>
        </w:rPr>
        <w:t xml:space="preserve"> die Abzockerinitiative keine dämpfende Wirkung auf die Entwicklung der Managerlöhne ausübt</w:t>
      </w:r>
      <w:r w:rsidR="00117E06" w:rsidRPr="00DD6B43">
        <w:rPr>
          <w:rFonts w:ascii="Arial" w:hAnsi="Arial" w:cs="Arial"/>
          <w:bCs/>
          <w:sz w:val="20"/>
          <w:szCs w:val="20"/>
        </w:rPr>
        <w:t>.</w:t>
      </w:r>
      <w:r w:rsidR="00A35A3C" w:rsidRPr="00DD6B43">
        <w:rPr>
          <w:rFonts w:ascii="Arial" w:hAnsi="Arial" w:cs="Arial"/>
          <w:bCs/>
          <w:sz w:val="20"/>
          <w:szCs w:val="20"/>
        </w:rPr>
        <w:t xml:space="preserve"> Aus folgenden drei Gründen stellt dies</w:t>
      </w:r>
      <w:r w:rsidR="009C42A4" w:rsidRPr="00DD6B43">
        <w:rPr>
          <w:rFonts w:ascii="Arial" w:hAnsi="Arial" w:cs="Arial"/>
          <w:bCs/>
          <w:sz w:val="20"/>
          <w:szCs w:val="20"/>
        </w:rPr>
        <w:t>e</w:t>
      </w:r>
      <w:r w:rsidR="00A35A3C" w:rsidRPr="00DD6B43">
        <w:rPr>
          <w:rFonts w:ascii="Arial" w:hAnsi="Arial" w:cs="Arial"/>
          <w:bCs/>
          <w:sz w:val="20"/>
          <w:szCs w:val="20"/>
        </w:rPr>
        <w:t xml:space="preserve"> kein wirksames Instrument dar</w:t>
      </w:r>
      <w:r w:rsidR="00550828" w:rsidRPr="00DD6B43">
        <w:rPr>
          <w:rFonts w:ascii="Arial" w:hAnsi="Arial" w:cs="Arial"/>
          <w:bCs/>
          <w:sz w:val="20"/>
          <w:szCs w:val="20"/>
        </w:rPr>
        <w:t>:</w:t>
      </w:r>
    </w:p>
    <w:p w:rsidR="00550828" w:rsidRPr="00DD6B43" w:rsidRDefault="00550828" w:rsidP="00DD6B43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:rsidR="00550828" w:rsidRPr="00DD6B43" w:rsidRDefault="00550828" w:rsidP="00DD6B43">
      <w:pPr>
        <w:numPr>
          <w:ilvl w:val="0"/>
          <w:numId w:val="4"/>
        </w:numPr>
        <w:spacing w:line="300" w:lineRule="exact"/>
        <w:rPr>
          <w:rFonts w:ascii="Arial" w:hAnsi="Arial" w:cs="Arial"/>
          <w:bCs/>
          <w:sz w:val="20"/>
          <w:szCs w:val="20"/>
        </w:rPr>
      </w:pPr>
      <w:r w:rsidRPr="00DD6B43">
        <w:rPr>
          <w:rFonts w:ascii="Arial" w:hAnsi="Arial" w:cs="Arial"/>
          <w:b/>
          <w:bCs/>
          <w:sz w:val="20"/>
          <w:szCs w:val="20"/>
        </w:rPr>
        <w:t>Keine dämpfende Wirkung sichtbar:</w:t>
      </w:r>
      <w:r w:rsidRPr="00DD6B43">
        <w:rPr>
          <w:rFonts w:ascii="Arial" w:hAnsi="Arial" w:cs="Arial"/>
          <w:bCs/>
          <w:sz w:val="20"/>
          <w:szCs w:val="20"/>
        </w:rPr>
        <w:t xml:space="preserve"> Wie die Resultate der Managerlohnstudie zeigen, lässt sich bisher keine dämpfende Wirkung der A</w:t>
      </w:r>
      <w:r w:rsidR="00F56359" w:rsidRPr="00DD6B43">
        <w:rPr>
          <w:rFonts w:ascii="Arial" w:hAnsi="Arial" w:cs="Arial"/>
          <w:bCs/>
          <w:sz w:val="20"/>
          <w:szCs w:val="20"/>
        </w:rPr>
        <w:t>bzockerinitia</w:t>
      </w:r>
      <w:r w:rsidRPr="00DD6B43">
        <w:rPr>
          <w:rFonts w:ascii="Arial" w:hAnsi="Arial" w:cs="Arial"/>
          <w:bCs/>
          <w:sz w:val="20"/>
          <w:szCs w:val="20"/>
        </w:rPr>
        <w:t>t</w:t>
      </w:r>
      <w:r w:rsidR="00F56359" w:rsidRPr="00DD6B43">
        <w:rPr>
          <w:rFonts w:ascii="Arial" w:hAnsi="Arial" w:cs="Arial"/>
          <w:bCs/>
          <w:sz w:val="20"/>
          <w:szCs w:val="20"/>
        </w:rPr>
        <w:t>i</w:t>
      </w:r>
      <w:r w:rsidRPr="00DD6B43">
        <w:rPr>
          <w:rFonts w:ascii="Arial" w:hAnsi="Arial" w:cs="Arial"/>
          <w:bCs/>
          <w:sz w:val="20"/>
          <w:szCs w:val="20"/>
        </w:rPr>
        <w:t xml:space="preserve">ve </w:t>
      </w:r>
      <w:r w:rsidR="008C2BF0" w:rsidRPr="00DD6B43">
        <w:rPr>
          <w:rFonts w:ascii="Arial" w:hAnsi="Arial" w:cs="Arial"/>
          <w:bCs/>
          <w:sz w:val="20"/>
          <w:szCs w:val="20"/>
        </w:rPr>
        <w:t>auf die Höhe der Mana</w:t>
      </w:r>
      <w:r w:rsidRPr="00DD6B43">
        <w:rPr>
          <w:rFonts w:ascii="Arial" w:hAnsi="Arial" w:cs="Arial"/>
          <w:bCs/>
          <w:sz w:val="20"/>
          <w:szCs w:val="20"/>
        </w:rPr>
        <w:t>ge</w:t>
      </w:r>
      <w:r w:rsidR="008C2BF0" w:rsidRPr="00DD6B43">
        <w:rPr>
          <w:rFonts w:ascii="Arial" w:hAnsi="Arial" w:cs="Arial"/>
          <w:bCs/>
          <w:sz w:val="20"/>
          <w:szCs w:val="20"/>
        </w:rPr>
        <w:t>mentsentschädigungen feststellen</w:t>
      </w:r>
      <w:r w:rsidRPr="00DD6B43">
        <w:rPr>
          <w:rFonts w:ascii="Arial" w:hAnsi="Arial" w:cs="Arial"/>
          <w:bCs/>
          <w:sz w:val="20"/>
          <w:szCs w:val="20"/>
        </w:rPr>
        <w:t>.</w:t>
      </w:r>
      <w:r w:rsidR="008C2BF0" w:rsidRPr="00DD6B43">
        <w:rPr>
          <w:rFonts w:ascii="Arial" w:hAnsi="Arial" w:cs="Arial"/>
          <w:bCs/>
          <w:sz w:val="20"/>
          <w:szCs w:val="20"/>
        </w:rPr>
        <w:t xml:space="preserve"> </w:t>
      </w:r>
    </w:p>
    <w:p w:rsidR="00117E06" w:rsidRPr="00DD6B43" w:rsidRDefault="00550828" w:rsidP="00DD6B43">
      <w:pPr>
        <w:numPr>
          <w:ilvl w:val="0"/>
          <w:numId w:val="4"/>
        </w:numPr>
        <w:spacing w:line="300" w:lineRule="exact"/>
        <w:rPr>
          <w:rFonts w:ascii="Arial" w:hAnsi="Arial" w:cs="Arial"/>
          <w:bCs/>
          <w:sz w:val="20"/>
          <w:szCs w:val="20"/>
        </w:rPr>
      </w:pPr>
      <w:r w:rsidRPr="00DD6B43">
        <w:rPr>
          <w:rFonts w:ascii="Arial" w:hAnsi="Arial" w:cs="Arial"/>
          <w:b/>
          <w:bCs/>
          <w:sz w:val="20"/>
          <w:szCs w:val="20"/>
        </w:rPr>
        <w:t>Nicht zielführende Abstimmungen an den GV’s:</w:t>
      </w:r>
      <w:r w:rsidRPr="00DD6B43">
        <w:rPr>
          <w:rFonts w:ascii="Arial" w:hAnsi="Arial" w:cs="Arial"/>
          <w:bCs/>
          <w:sz w:val="20"/>
          <w:szCs w:val="20"/>
        </w:rPr>
        <w:t xml:space="preserve"> D</w:t>
      </w:r>
      <w:r w:rsidR="008C2BF0" w:rsidRPr="00DD6B43">
        <w:rPr>
          <w:rFonts w:ascii="Arial" w:hAnsi="Arial" w:cs="Arial"/>
          <w:bCs/>
          <w:sz w:val="20"/>
          <w:szCs w:val="20"/>
        </w:rPr>
        <w:t>urch d</w:t>
      </w:r>
      <w:r w:rsidR="00117E06" w:rsidRPr="00DD6B43">
        <w:rPr>
          <w:rFonts w:ascii="Arial" w:hAnsi="Arial" w:cs="Arial"/>
          <w:bCs/>
          <w:sz w:val="20"/>
          <w:szCs w:val="20"/>
        </w:rPr>
        <w:t>ie Verordnung gegen übermässige Vergütungen bei bö</w:t>
      </w:r>
      <w:r w:rsidR="005F2E3B" w:rsidRPr="00DD6B43">
        <w:rPr>
          <w:rFonts w:ascii="Arial" w:hAnsi="Arial" w:cs="Arial"/>
          <w:bCs/>
          <w:sz w:val="20"/>
          <w:szCs w:val="20"/>
        </w:rPr>
        <w:t>rsenkotierten Unternehmen (VegüV</w:t>
      </w:r>
      <w:r w:rsidR="00117E06" w:rsidRPr="00DD6B43">
        <w:rPr>
          <w:rFonts w:ascii="Arial" w:hAnsi="Arial" w:cs="Arial"/>
          <w:bCs/>
          <w:sz w:val="20"/>
          <w:szCs w:val="20"/>
        </w:rPr>
        <w:t>)</w:t>
      </w:r>
      <w:r w:rsidRPr="00DD6B43">
        <w:rPr>
          <w:rFonts w:ascii="Arial" w:hAnsi="Arial" w:cs="Arial"/>
          <w:bCs/>
          <w:sz w:val="20"/>
          <w:szCs w:val="20"/>
        </w:rPr>
        <w:t xml:space="preserve"> werden die Unternehmen </w:t>
      </w:r>
      <w:r w:rsidR="00F56359" w:rsidRPr="00DD6B43">
        <w:rPr>
          <w:rFonts w:ascii="Arial" w:hAnsi="Arial" w:cs="Arial"/>
          <w:bCs/>
          <w:sz w:val="20"/>
          <w:szCs w:val="20"/>
        </w:rPr>
        <w:t>an den Generalversammlungen</w:t>
      </w:r>
      <w:r w:rsidR="00117E06" w:rsidRPr="00DD6B43">
        <w:rPr>
          <w:rFonts w:ascii="Arial" w:hAnsi="Arial" w:cs="Arial"/>
          <w:bCs/>
          <w:sz w:val="20"/>
          <w:szCs w:val="20"/>
        </w:rPr>
        <w:t xml:space="preserve"> </w:t>
      </w:r>
      <w:r w:rsidR="00B5355F" w:rsidRPr="00DD6B43">
        <w:rPr>
          <w:rFonts w:ascii="Arial" w:hAnsi="Arial" w:cs="Arial"/>
          <w:bCs/>
          <w:sz w:val="20"/>
          <w:szCs w:val="20"/>
        </w:rPr>
        <w:t>zu bindenden Abstimmungen</w:t>
      </w:r>
      <w:r w:rsidRPr="00DD6B43">
        <w:rPr>
          <w:rFonts w:ascii="Arial" w:hAnsi="Arial" w:cs="Arial"/>
          <w:bCs/>
          <w:sz w:val="20"/>
          <w:szCs w:val="20"/>
        </w:rPr>
        <w:t xml:space="preserve"> </w:t>
      </w:r>
      <w:r w:rsidR="00697026" w:rsidRPr="00DD6B43">
        <w:rPr>
          <w:rFonts w:ascii="Arial" w:hAnsi="Arial" w:cs="Arial"/>
          <w:bCs/>
          <w:sz w:val="20"/>
          <w:szCs w:val="20"/>
        </w:rPr>
        <w:t>über die Man</w:t>
      </w:r>
      <w:r w:rsidRPr="00DD6B43">
        <w:rPr>
          <w:rFonts w:ascii="Arial" w:hAnsi="Arial" w:cs="Arial"/>
          <w:bCs/>
          <w:sz w:val="20"/>
          <w:szCs w:val="20"/>
        </w:rPr>
        <w:t>agementvergütungen verpflichtet</w:t>
      </w:r>
      <w:r w:rsidR="001E258B" w:rsidRPr="00DD6B43">
        <w:rPr>
          <w:rFonts w:ascii="Arial" w:hAnsi="Arial" w:cs="Arial"/>
          <w:bCs/>
          <w:sz w:val="20"/>
          <w:szCs w:val="20"/>
        </w:rPr>
        <w:t>.</w:t>
      </w:r>
      <w:r w:rsidR="00287EE6" w:rsidRPr="00DD6B43">
        <w:rPr>
          <w:rFonts w:ascii="Arial" w:hAnsi="Arial" w:cs="Arial"/>
          <w:bCs/>
          <w:sz w:val="20"/>
          <w:szCs w:val="20"/>
        </w:rPr>
        <w:t xml:space="preserve"> Sinnvoll </w:t>
      </w:r>
      <w:r w:rsidRPr="00DD6B43">
        <w:rPr>
          <w:rFonts w:ascii="Arial" w:hAnsi="Arial" w:cs="Arial"/>
          <w:bCs/>
          <w:sz w:val="20"/>
          <w:szCs w:val="20"/>
        </w:rPr>
        <w:t>kann dabei nur eine getrennte Abstimmung über die fixen Entschädigungen und die variablen Entschädigungen (Boni) sein. Ausserdem muss die Abstimmung über die Boni retrospektiv</w:t>
      </w:r>
      <w:r w:rsidR="00287EE6" w:rsidRPr="00DD6B43">
        <w:rPr>
          <w:rFonts w:ascii="Arial" w:hAnsi="Arial" w:cs="Arial"/>
          <w:bCs/>
          <w:sz w:val="20"/>
          <w:szCs w:val="20"/>
        </w:rPr>
        <w:t xml:space="preserve"> – also im Folgejahr, wenn die </w:t>
      </w:r>
      <w:r w:rsidR="00F56359" w:rsidRPr="00DD6B43">
        <w:rPr>
          <w:rFonts w:ascii="Arial" w:hAnsi="Arial" w:cs="Arial"/>
          <w:bCs/>
          <w:sz w:val="20"/>
          <w:szCs w:val="20"/>
        </w:rPr>
        <w:t>Geschäftsergebnisse vorliegen -</w:t>
      </w:r>
      <w:r w:rsidRPr="00DD6B43">
        <w:rPr>
          <w:rFonts w:ascii="Arial" w:hAnsi="Arial" w:cs="Arial"/>
          <w:bCs/>
          <w:sz w:val="20"/>
          <w:szCs w:val="20"/>
        </w:rPr>
        <w:t xml:space="preserve"> erfolgen</w:t>
      </w:r>
      <w:r w:rsidR="00287EE6" w:rsidRPr="00DD6B43">
        <w:rPr>
          <w:rFonts w:ascii="Arial" w:hAnsi="Arial" w:cs="Arial"/>
          <w:bCs/>
          <w:sz w:val="20"/>
          <w:szCs w:val="20"/>
        </w:rPr>
        <w:t>. Lediglich sechs der untersuchten Unternehmen orientiere</w:t>
      </w:r>
      <w:r w:rsidR="00F56359" w:rsidRPr="00DD6B43">
        <w:rPr>
          <w:rFonts w:ascii="Arial" w:hAnsi="Arial" w:cs="Arial"/>
          <w:bCs/>
          <w:sz w:val="20"/>
          <w:szCs w:val="20"/>
        </w:rPr>
        <w:t>n sich an dieser A</w:t>
      </w:r>
      <w:r w:rsidR="00287EE6" w:rsidRPr="00DD6B43">
        <w:rPr>
          <w:rFonts w:ascii="Arial" w:hAnsi="Arial" w:cs="Arial"/>
          <w:bCs/>
          <w:sz w:val="20"/>
          <w:szCs w:val="20"/>
        </w:rPr>
        <w:t>bstimmungskaskade. Bei de</w:t>
      </w:r>
      <w:r w:rsidR="00B5588C" w:rsidRPr="00DD6B43">
        <w:rPr>
          <w:rFonts w:ascii="Arial" w:hAnsi="Arial" w:cs="Arial"/>
          <w:bCs/>
          <w:sz w:val="20"/>
          <w:szCs w:val="20"/>
        </w:rPr>
        <w:t>n restlichen 17 Unternehmen erfolgt</w:t>
      </w:r>
      <w:r w:rsidR="00287EE6" w:rsidRPr="00DD6B43">
        <w:rPr>
          <w:rFonts w:ascii="Arial" w:hAnsi="Arial" w:cs="Arial"/>
          <w:bCs/>
          <w:sz w:val="20"/>
          <w:szCs w:val="20"/>
        </w:rPr>
        <w:t xml:space="preserve"> die Genehmigung der Boni im Voraus</w:t>
      </w:r>
      <w:r w:rsidR="00B5588C" w:rsidRPr="00DD6B43">
        <w:rPr>
          <w:rFonts w:ascii="Arial" w:hAnsi="Arial" w:cs="Arial"/>
          <w:bCs/>
          <w:sz w:val="20"/>
          <w:szCs w:val="20"/>
        </w:rPr>
        <w:t xml:space="preserve"> und damit ohne Kenntnis über den Geschäftsgang des Unternehmens</w:t>
      </w:r>
      <w:r w:rsidR="00DD6B43">
        <w:rPr>
          <w:rFonts w:ascii="Arial" w:hAnsi="Arial" w:cs="Arial"/>
          <w:bCs/>
          <w:sz w:val="20"/>
          <w:szCs w:val="20"/>
        </w:rPr>
        <w:t>.</w:t>
      </w:r>
    </w:p>
    <w:p w:rsidR="00A76E74" w:rsidRPr="00DD6B43" w:rsidRDefault="00287EE6" w:rsidP="00DD6B43">
      <w:pPr>
        <w:numPr>
          <w:ilvl w:val="0"/>
          <w:numId w:val="4"/>
        </w:numPr>
        <w:spacing w:line="300" w:lineRule="exact"/>
        <w:rPr>
          <w:rFonts w:ascii="Arial" w:hAnsi="Arial" w:cs="Arial"/>
          <w:bCs/>
          <w:sz w:val="20"/>
          <w:szCs w:val="20"/>
        </w:rPr>
      </w:pPr>
      <w:r w:rsidRPr="00DD6B43">
        <w:rPr>
          <w:rFonts w:ascii="Arial" w:hAnsi="Arial" w:cs="Arial"/>
          <w:b/>
          <w:bCs/>
          <w:sz w:val="20"/>
          <w:szCs w:val="20"/>
        </w:rPr>
        <w:t>Umgehungsmöglichkeiten:</w:t>
      </w:r>
      <w:r w:rsidRPr="00DD6B43">
        <w:rPr>
          <w:rFonts w:ascii="Arial" w:hAnsi="Arial" w:cs="Arial"/>
          <w:bCs/>
          <w:sz w:val="20"/>
          <w:szCs w:val="20"/>
        </w:rPr>
        <w:t xml:space="preserve"> Insbesondere horrende Antritts- und Abgangsentschädigungen werden von der Bevölkerung als stossend wahrgenommen</w:t>
      </w:r>
      <w:r w:rsidR="00A76E74" w:rsidRPr="00DD6B43">
        <w:rPr>
          <w:rFonts w:ascii="Arial" w:hAnsi="Arial" w:cs="Arial"/>
          <w:bCs/>
          <w:sz w:val="20"/>
          <w:szCs w:val="20"/>
        </w:rPr>
        <w:t>. Zwar wird die Vorauszahlung (ohne Gegenleistu</w:t>
      </w:r>
      <w:r w:rsidR="005F2E3B" w:rsidRPr="00DD6B43">
        <w:rPr>
          <w:rFonts w:ascii="Arial" w:hAnsi="Arial" w:cs="Arial"/>
          <w:bCs/>
          <w:sz w:val="20"/>
          <w:szCs w:val="20"/>
        </w:rPr>
        <w:t>ng) durch die Vegü</w:t>
      </w:r>
      <w:r w:rsidR="00A76E74" w:rsidRPr="00DD6B43">
        <w:rPr>
          <w:rFonts w:ascii="Arial" w:hAnsi="Arial" w:cs="Arial"/>
          <w:bCs/>
          <w:sz w:val="20"/>
          <w:szCs w:val="20"/>
        </w:rPr>
        <w:t xml:space="preserve">V verunmöglicht. Zulässig bleiben hingegen Antrittsprämien, welche den Manager aus den Bonusplänen des bisherigen Arbeitgebers freikaufen, ebenso wie die Vergütung </w:t>
      </w:r>
      <w:r w:rsidR="005F2E3B" w:rsidRPr="00DD6B43">
        <w:rPr>
          <w:rFonts w:ascii="Arial" w:hAnsi="Arial" w:cs="Arial"/>
          <w:bCs/>
          <w:sz w:val="20"/>
          <w:szCs w:val="20"/>
        </w:rPr>
        <w:t xml:space="preserve">von </w:t>
      </w:r>
      <w:r w:rsidR="00A76E74" w:rsidRPr="00DD6B43">
        <w:rPr>
          <w:rFonts w:ascii="Arial" w:hAnsi="Arial" w:cs="Arial"/>
          <w:bCs/>
          <w:sz w:val="20"/>
          <w:szCs w:val="20"/>
        </w:rPr>
        <w:t>Leistungen durch Konkurrenzv</w:t>
      </w:r>
      <w:r w:rsidR="00B5588C" w:rsidRPr="00DD6B43">
        <w:rPr>
          <w:rFonts w:ascii="Arial" w:hAnsi="Arial" w:cs="Arial"/>
          <w:bCs/>
          <w:sz w:val="20"/>
          <w:szCs w:val="20"/>
        </w:rPr>
        <w:t>erbote beim alten Arbeitgeber. Die Credit Suisse hat so an den neuen CEO Tidjane Thiam über 14 Mio. Franken entrichtet, welche ihn für die entgangenen Boni beim bisherigen Arbeitgeber kompensieren</w:t>
      </w:r>
      <w:r w:rsidR="008E06E8">
        <w:rPr>
          <w:rFonts w:ascii="Arial" w:hAnsi="Arial" w:cs="Arial"/>
          <w:bCs/>
          <w:sz w:val="20"/>
          <w:szCs w:val="20"/>
        </w:rPr>
        <w:t xml:space="preserve"> sollen</w:t>
      </w:r>
      <w:r w:rsidR="00A76E74" w:rsidRPr="00DD6B43">
        <w:rPr>
          <w:rFonts w:ascii="Arial" w:hAnsi="Arial" w:cs="Arial"/>
          <w:bCs/>
          <w:sz w:val="20"/>
          <w:szCs w:val="20"/>
        </w:rPr>
        <w:t>.</w:t>
      </w:r>
    </w:p>
    <w:p w:rsidR="00287EE6" w:rsidRPr="00DD6B43" w:rsidRDefault="00A76E74" w:rsidP="00DD6B43">
      <w:pPr>
        <w:spacing w:line="300" w:lineRule="exact"/>
        <w:ind w:left="720"/>
        <w:rPr>
          <w:rFonts w:ascii="Arial" w:hAnsi="Arial" w:cs="Arial"/>
          <w:bCs/>
          <w:sz w:val="20"/>
          <w:szCs w:val="20"/>
        </w:rPr>
      </w:pPr>
      <w:r w:rsidRPr="00DD6B43">
        <w:rPr>
          <w:rFonts w:ascii="Arial" w:hAnsi="Arial" w:cs="Arial"/>
          <w:bCs/>
          <w:sz w:val="20"/>
          <w:szCs w:val="20"/>
        </w:rPr>
        <w:t xml:space="preserve">Auch </w:t>
      </w:r>
      <w:r w:rsidR="00D724E6" w:rsidRPr="00DD6B43">
        <w:rPr>
          <w:rFonts w:ascii="Arial" w:hAnsi="Arial" w:cs="Arial"/>
          <w:bCs/>
          <w:sz w:val="20"/>
          <w:szCs w:val="20"/>
        </w:rPr>
        <w:t>vertraglich vereinbarte oder statutarisch festgelegte</w:t>
      </w:r>
      <w:r w:rsidR="00A8222F" w:rsidRPr="00DD6B43">
        <w:rPr>
          <w:rFonts w:ascii="Arial" w:hAnsi="Arial" w:cs="Arial"/>
          <w:bCs/>
          <w:sz w:val="20"/>
          <w:szCs w:val="20"/>
        </w:rPr>
        <w:t xml:space="preserve"> </w:t>
      </w:r>
      <w:r w:rsidR="00D724E6" w:rsidRPr="00DD6B43">
        <w:rPr>
          <w:rFonts w:ascii="Arial" w:hAnsi="Arial" w:cs="Arial"/>
          <w:bCs/>
          <w:sz w:val="20"/>
          <w:szCs w:val="20"/>
        </w:rPr>
        <w:t xml:space="preserve">Abgangsentschädigungen wurden dank </w:t>
      </w:r>
      <w:r w:rsidR="006A366F" w:rsidRPr="00DD6B43">
        <w:rPr>
          <w:rFonts w:ascii="Arial" w:hAnsi="Arial" w:cs="Arial"/>
          <w:bCs/>
          <w:sz w:val="20"/>
          <w:szCs w:val="20"/>
        </w:rPr>
        <w:t>der Vegü</w:t>
      </w:r>
      <w:r w:rsidR="00D724E6" w:rsidRPr="00DD6B43">
        <w:rPr>
          <w:rFonts w:ascii="Arial" w:hAnsi="Arial" w:cs="Arial"/>
          <w:bCs/>
          <w:sz w:val="20"/>
          <w:szCs w:val="20"/>
        </w:rPr>
        <w:t xml:space="preserve">V unzulässig. Zulässig bleiben hingegen Lohnfortzahlungen bis zum Ende der </w:t>
      </w:r>
      <w:r w:rsidR="00D724E6" w:rsidRPr="00DD6B43">
        <w:rPr>
          <w:rFonts w:ascii="Arial" w:hAnsi="Arial" w:cs="Arial"/>
          <w:bCs/>
          <w:sz w:val="20"/>
          <w:szCs w:val="20"/>
        </w:rPr>
        <w:lastRenderedPageBreak/>
        <w:t>Kündigungsfrist</w:t>
      </w:r>
      <w:r w:rsidR="00D3745A" w:rsidRPr="00DD6B43">
        <w:rPr>
          <w:rFonts w:ascii="Arial" w:hAnsi="Arial" w:cs="Arial"/>
          <w:bCs/>
          <w:sz w:val="20"/>
          <w:szCs w:val="20"/>
        </w:rPr>
        <w:t>, überlange entschädigte Konkurrenzverbote</w:t>
      </w:r>
      <w:r w:rsidR="00D724E6" w:rsidRPr="00DD6B43">
        <w:rPr>
          <w:rFonts w:ascii="Arial" w:hAnsi="Arial" w:cs="Arial"/>
          <w:bCs/>
          <w:sz w:val="20"/>
          <w:szCs w:val="20"/>
        </w:rPr>
        <w:t xml:space="preserve"> sowie Beraterverträge, bei welchen die Gegenleistung nicht transparent aufgezeigt wird. So </w:t>
      </w:r>
      <w:r w:rsidR="00D3745A" w:rsidRPr="00DD6B43">
        <w:rPr>
          <w:rFonts w:ascii="Arial" w:hAnsi="Arial" w:cs="Arial"/>
          <w:bCs/>
          <w:sz w:val="20"/>
          <w:szCs w:val="20"/>
        </w:rPr>
        <w:t>weist der Geschäftsbericht von Roche knapp 400‘000 Franken aus, welche Franz Humer</w:t>
      </w:r>
      <w:r w:rsidR="00EF2C99" w:rsidRPr="00DD6B43">
        <w:rPr>
          <w:rFonts w:ascii="Arial" w:hAnsi="Arial" w:cs="Arial"/>
          <w:bCs/>
          <w:sz w:val="20"/>
          <w:szCs w:val="20"/>
        </w:rPr>
        <w:t xml:space="preserve"> auch im zweiten Jahr nach seinem Austritt aus dem VR </w:t>
      </w:r>
      <w:r w:rsidR="00D3745A" w:rsidRPr="00DD6B43">
        <w:rPr>
          <w:rFonts w:ascii="Arial" w:hAnsi="Arial" w:cs="Arial"/>
          <w:bCs/>
          <w:sz w:val="20"/>
          <w:szCs w:val="20"/>
        </w:rPr>
        <w:t>für Beratertätigkeiten erhalten</w:t>
      </w:r>
      <w:r w:rsidR="00EF2C99" w:rsidRPr="00DD6B43">
        <w:rPr>
          <w:rFonts w:ascii="Arial" w:hAnsi="Arial" w:cs="Arial"/>
          <w:bCs/>
          <w:sz w:val="20"/>
          <w:szCs w:val="20"/>
        </w:rPr>
        <w:t xml:space="preserve"> hat.</w:t>
      </w:r>
      <w:r w:rsidR="00D724E6" w:rsidRPr="00DD6B43">
        <w:rPr>
          <w:rFonts w:ascii="Arial" w:hAnsi="Arial" w:cs="Arial"/>
          <w:bCs/>
          <w:sz w:val="20"/>
          <w:szCs w:val="20"/>
        </w:rPr>
        <w:t xml:space="preserve"> </w:t>
      </w:r>
    </w:p>
    <w:p w:rsidR="00A76E74" w:rsidRPr="00DD6B43" w:rsidRDefault="00A76E74" w:rsidP="00DD6B43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:rsidR="00A35A3C" w:rsidRPr="00DD6B43" w:rsidRDefault="00A35A3C" w:rsidP="00DD6B4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DD6B43">
        <w:rPr>
          <w:rFonts w:ascii="Arial" w:hAnsi="Arial" w:cs="Arial"/>
          <w:bCs/>
          <w:sz w:val="20"/>
          <w:szCs w:val="20"/>
        </w:rPr>
        <w:t xml:space="preserve">Für Travail.Suisse ist klar, dass in der </w:t>
      </w:r>
      <w:r w:rsidR="008B2905" w:rsidRPr="00DD6B43">
        <w:rPr>
          <w:rFonts w:ascii="Arial" w:hAnsi="Arial" w:cs="Arial"/>
          <w:bCs/>
          <w:sz w:val="20"/>
          <w:szCs w:val="20"/>
        </w:rPr>
        <w:t xml:space="preserve">kommenden </w:t>
      </w:r>
      <w:r w:rsidRPr="00DD6B43">
        <w:rPr>
          <w:rFonts w:ascii="Arial" w:hAnsi="Arial" w:cs="Arial"/>
          <w:bCs/>
          <w:sz w:val="20"/>
          <w:szCs w:val="20"/>
        </w:rPr>
        <w:t>Aktienrechtsrevision zwingend strengere Regulierung zur Eindämmung der überrissenen Managerlöhne gemacht werden müssen, ansonsten droht ein erneuter Bonirausch mit entsprechenden politischen und gesellschaftlichen Kosten.</w:t>
      </w:r>
    </w:p>
    <w:p w:rsidR="00C10F46" w:rsidRDefault="00C10F46" w:rsidP="00DD6B43">
      <w:pPr>
        <w:spacing w:line="300" w:lineRule="exact"/>
        <w:rPr>
          <w:rFonts w:ascii="Arial" w:hAnsi="Arial" w:cs="Arial"/>
          <w:b/>
          <w:bCs/>
          <w:i/>
          <w:sz w:val="20"/>
          <w:szCs w:val="20"/>
        </w:rPr>
      </w:pPr>
    </w:p>
    <w:p w:rsidR="00DD6B43" w:rsidRPr="00DD6B43" w:rsidRDefault="00DD6B43" w:rsidP="00DD6B43">
      <w:pPr>
        <w:spacing w:line="300" w:lineRule="exact"/>
        <w:rPr>
          <w:rFonts w:ascii="Arial" w:hAnsi="Arial" w:cs="Arial"/>
          <w:b/>
          <w:bCs/>
          <w:i/>
          <w:sz w:val="20"/>
          <w:szCs w:val="20"/>
        </w:rPr>
      </w:pPr>
    </w:p>
    <w:p w:rsidR="00035C66" w:rsidRPr="00DD6B43" w:rsidRDefault="001E258B" w:rsidP="00DD6B4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DD6B43">
        <w:rPr>
          <w:rFonts w:ascii="Arial" w:hAnsi="Arial" w:cs="Arial"/>
          <w:b/>
          <w:bCs/>
          <w:sz w:val="20"/>
          <w:szCs w:val="20"/>
        </w:rPr>
        <w:t>Frauen: Mehr Verwaltun</w:t>
      </w:r>
      <w:r w:rsidR="00AF4357" w:rsidRPr="00DD6B43">
        <w:rPr>
          <w:rFonts w:ascii="Arial" w:hAnsi="Arial" w:cs="Arial"/>
          <w:b/>
          <w:bCs/>
          <w:sz w:val="20"/>
          <w:szCs w:val="20"/>
        </w:rPr>
        <w:t>gsrätinnen</w:t>
      </w:r>
      <w:r w:rsidR="00EF2C99" w:rsidRPr="00DD6B43">
        <w:rPr>
          <w:rFonts w:ascii="Arial" w:hAnsi="Arial" w:cs="Arial"/>
          <w:b/>
          <w:bCs/>
          <w:sz w:val="20"/>
          <w:szCs w:val="20"/>
        </w:rPr>
        <w:t xml:space="preserve"> – Keine Fortschritte in den Konzernleitungen</w:t>
      </w:r>
    </w:p>
    <w:p w:rsidR="005808AD" w:rsidRPr="00DD6B43" w:rsidRDefault="005808AD" w:rsidP="00DD6B43">
      <w:pPr>
        <w:spacing w:line="300" w:lineRule="exact"/>
        <w:rPr>
          <w:rFonts w:ascii="Arial" w:hAnsi="Arial" w:cs="Arial"/>
          <w:i/>
          <w:sz w:val="20"/>
          <w:szCs w:val="20"/>
        </w:rPr>
      </w:pPr>
    </w:p>
    <w:p w:rsidR="00336201" w:rsidRDefault="001C153C" w:rsidP="00DD6B43">
      <w:pPr>
        <w:spacing w:line="300" w:lineRule="exact"/>
        <w:rPr>
          <w:rFonts w:ascii="Arial" w:hAnsi="Arial" w:cs="Arial"/>
          <w:sz w:val="20"/>
          <w:szCs w:val="20"/>
        </w:rPr>
      </w:pPr>
      <w:r w:rsidRPr="00DD6B43">
        <w:rPr>
          <w:rFonts w:ascii="Arial" w:hAnsi="Arial" w:cs="Arial"/>
          <w:sz w:val="20"/>
          <w:szCs w:val="20"/>
        </w:rPr>
        <w:t>In den Verwaltungsräten der untersu</w:t>
      </w:r>
      <w:r w:rsidR="00A8222F" w:rsidRPr="00DD6B43">
        <w:rPr>
          <w:rFonts w:ascii="Arial" w:hAnsi="Arial" w:cs="Arial"/>
          <w:sz w:val="20"/>
          <w:szCs w:val="20"/>
        </w:rPr>
        <w:t>chten Unternehmen finden sich 55</w:t>
      </w:r>
      <w:r w:rsidRPr="00DD6B43">
        <w:rPr>
          <w:rFonts w:ascii="Arial" w:hAnsi="Arial" w:cs="Arial"/>
          <w:sz w:val="20"/>
          <w:szCs w:val="20"/>
        </w:rPr>
        <w:t xml:space="preserve"> Frauen. Damit hat sich die Frauenquote in den l</w:t>
      </w:r>
      <w:r w:rsidR="00A8222F" w:rsidRPr="00DD6B43">
        <w:rPr>
          <w:rFonts w:ascii="Arial" w:hAnsi="Arial" w:cs="Arial"/>
          <w:sz w:val="20"/>
          <w:szCs w:val="20"/>
        </w:rPr>
        <w:t xml:space="preserve">etzten zehn Jahren </w:t>
      </w:r>
      <w:r w:rsidR="00DA312E" w:rsidRPr="00DD6B43">
        <w:rPr>
          <w:rFonts w:ascii="Arial" w:hAnsi="Arial" w:cs="Arial"/>
          <w:sz w:val="20"/>
          <w:szCs w:val="20"/>
        </w:rPr>
        <w:t>zwar mehr</w:t>
      </w:r>
      <w:r w:rsidR="00BA6853" w:rsidRPr="00DD6B43">
        <w:rPr>
          <w:rFonts w:ascii="Arial" w:hAnsi="Arial" w:cs="Arial"/>
          <w:sz w:val="20"/>
          <w:szCs w:val="20"/>
        </w:rPr>
        <w:t xml:space="preserve"> als verdoppelt, noch immer ist</w:t>
      </w:r>
      <w:r w:rsidR="00DA312E" w:rsidRPr="00DD6B43">
        <w:rPr>
          <w:rFonts w:ascii="Arial" w:hAnsi="Arial" w:cs="Arial"/>
          <w:sz w:val="20"/>
          <w:szCs w:val="20"/>
        </w:rPr>
        <w:t xml:space="preserve"> aber weniger als jeder vierte Sitz mit einer Frau besetzt. Geradezu dramatisch</w:t>
      </w:r>
      <w:r w:rsidRPr="00DD6B43">
        <w:rPr>
          <w:rFonts w:ascii="Arial" w:hAnsi="Arial" w:cs="Arial"/>
          <w:sz w:val="20"/>
          <w:szCs w:val="20"/>
        </w:rPr>
        <w:t xml:space="preserve"> präsentiert sich das Bild bei den Konzernleitungen</w:t>
      </w:r>
      <w:r w:rsidR="00DA312E" w:rsidRPr="00DD6B43">
        <w:rPr>
          <w:rFonts w:ascii="Arial" w:hAnsi="Arial" w:cs="Arial"/>
          <w:sz w:val="20"/>
          <w:szCs w:val="20"/>
        </w:rPr>
        <w:t>. Von den 220</w:t>
      </w:r>
      <w:r w:rsidR="0016684D" w:rsidRPr="00DD6B43">
        <w:rPr>
          <w:rFonts w:ascii="Arial" w:hAnsi="Arial" w:cs="Arial"/>
          <w:sz w:val="20"/>
          <w:szCs w:val="20"/>
        </w:rPr>
        <w:t xml:space="preserve"> Konze</w:t>
      </w:r>
      <w:r w:rsidR="00DA312E" w:rsidRPr="00DD6B43">
        <w:rPr>
          <w:rFonts w:ascii="Arial" w:hAnsi="Arial" w:cs="Arial"/>
          <w:sz w:val="20"/>
          <w:szCs w:val="20"/>
        </w:rPr>
        <w:t>rnleitungsposten waren Ende 2015 lediglich 9</w:t>
      </w:r>
      <w:r w:rsidR="0016684D" w:rsidRPr="00DD6B43">
        <w:rPr>
          <w:rFonts w:ascii="Arial" w:hAnsi="Arial" w:cs="Arial"/>
          <w:sz w:val="20"/>
          <w:szCs w:val="20"/>
        </w:rPr>
        <w:t xml:space="preserve"> </w:t>
      </w:r>
      <w:r w:rsidR="006A366F" w:rsidRPr="00DD6B43">
        <w:rPr>
          <w:rFonts w:ascii="Arial" w:hAnsi="Arial" w:cs="Arial"/>
          <w:sz w:val="20"/>
          <w:szCs w:val="20"/>
        </w:rPr>
        <w:t>durch Frauen besetzt.</w:t>
      </w:r>
      <w:r w:rsidR="0016684D" w:rsidRPr="00DD6B43">
        <w:rPr>
          <w:rFonts w:ascii="Arial" w:hAnsi="Arial" w:cs="Arial"/>
          <w:sz w:val="20"/>
          <w:szCs w:val="20"/>
        </w:rPr>
        <w:t xml:space="preserve"> Die Frauenquote </w:t>
      </w:r>
      <w:r w:rsidR="00DA312E" w:rsidRPr="00DD6B43">
        <w:rPr>
          <w:rFonts w:ascii="Arial" w:hAnsi="Arial" w:cs="Arial"/>
          <w:sz w:val="20"/>
          <w:szCs w:val="20"/>
        </w:rPr>
        <w:t>liegt damit mit 4</w:t>
      </w:r>
      <w:r w:rsidR="006A366F" w:rsidRPr="00DD6B43">
        <w:rPr>
          <w:rFonts w:ascii="Arial" w:hAnsi="Arial" w:cs="Arial"/>
          <w:sz w:val="20"/>
          <w:szCs w:val="20"/>
        </w:rPr>
        <w:t xml:space="preserve">% beschämend tief. </w:t>
      </w:r>
      <w:r w:rsidR="00DA312E" w:rsidRPr="00DD6B43">
        <w:rPr>
          <w:rFonts w:ascii="Arial" w:hAnsi="Arial" w:cs="Arial"/>
          <w:sz w:val="20"/>
          <w:szCs w:val="20"/>
        </w:rPr>
        <w:t xml:space="preserve">Bezeichnend </w:t>
      </w:r>
      <w:r w:rsidR="00080523" w:rsidRPr="00DD6B43">
        <w:rPr>
          <w:rFonts w:ascii="Arial" w:hAnsi="Arial" w:cs="Arial"/>
          <w:sz w:val="20"/>
          <w:szCs w:val="20"/>
        </w:rPr>
        <w:t xml:space="preserve">ist </w:t>
      </w:r>
      <w:r w:rsidR="00DA312E" w:rsidRPr="00DD6B43">
        <w:rPr>
          <w:rFonts w:ascii="Arial" w:hAnsi="Arial" w:cs="Arial"/>
          <w:sz w:val="20"/>
          <w:szCs w:val="20"/>
        </w:rPr>
        <w:t xml:space="preserve">auch, dass von den </w:t>
      </w:r>
      <w:r w:rsidR="00080523" w:rsidRPr="00DD6B43">
        <w:rPr>
          <w:rFonts w:ascii="Arial" w:hAnsi="Arial" w:cs="Arial"/>
          <w:sz w:val="20"/>
          <w:szCs w:val="20"/>
        </w:rPr>
        <w:t>18</w:t>
      </w:r>
      <w:r w:rsidR="00DA312E" w:rsidRPr="00DD6B43">
        <w:rPr>
          <w:rFonts w:ascii="Arial" w:hAnsi="Arial" w:cs="Arial"/>
          <w:sz w:val="20"/>
          <w:szCs w:val="20"/>
        </w:rPr>
        <w:t xml:space="preserve"> neu besetzten Posten 2015 lediglich </w:t>
      </w:r>
      <w:r w:rsidR="00080523" w:rsidRPr="00DD6B43">
        <w:rPr>
          <w:rFonts w:ascii="Arial" w:hAnsi="Arial" w:cs="Arial"/>
          <w:sz w:val="20"/>
          <w:szCs w:val="20"/>
        </w:rPr>
        <w:t xml:space="preserve">einer von einer Frau </w:t>
      </w:r>
      <w:r w:rsidR="00B8246B" w:rsidRPr="00DD6B43">
        <w:rPr>
          <w:rFonts w:ascii="Arial" w:hAnsi="Arial" w:cs="Arial"/>
          <w:sz w:val="20"/>
          <w:szCs w:val="20"/>
        </w:rPr>
        <w:t>eingenommen</w:t>
      </w:r>
      <w:r w:rsidR="00080523" w:rsidRPr="00DD6B43">
        <w:rPr>
          <w:rFonts w:ascii="Arial" w:hAnsi="Arial" w:cs="Arial"/>
          <w:sz w:val="20"/>
          <w:szCs w:val="20"/>
        </w:rPr>
        <w:t xml:space="preserve"> wurde</w:t>
      </w:r>
      <w:r w:rsidR="00DD6B43">
        <w:rPr>
          <w:rFonts w:ascii="Arial" w:hAnsi="Arial" w:cs="Arial"/>
          <w:sz w:val="20"/>
          <w:szCs w:val="20"/>
        </w:rPr>
        <w:t>.</w:t>
      </w:r>
    </w:p>
    <w:p w:rsidR="002E1763" w:rsidRDefault="002E1763" w:rsidP="00DD6B4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Default="002E1763" w:rsidP="002E1763">
      <w:pPr>
        <w:spacing w:line="300" w:lineRule="exact"/>
        <w:rPr>
          <w:rFonts w:ascii="Arial" w:hAnsi="Arial" w:cs="Arial"/>
          <w:sz w:val="20"/>
          <w:szCs w:val="20"/>
        </w:rPr>
      </w:pPr>
    </w:p>
    <w:p w:rsidR="002E1763" w:rsidRPr="002E1763" w:rsidRDefault="002E1763" w:rsidP="002E1763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2E1763">
        <w:rPr>
          <w:rFonts w:ascii="Arial" w:hAnsi="Arial" w:cs="Arial"/>
          <w:sz w:val="20"/>
          <w:szCs w:val="20"/>
        </w:rPr>
        <w:t>Travail.Suisse, Hopfenweg 21, 3001 Bern, Tel. 031 370 21 11, info@travailsuisse.ch,</w:t>
      </w:r>
    </w:p>
    <w:p w:rsidR="002E1763" w:rsidRPr="002E1763" w:rsidRDefault="002E1763" w:rsidP="002E1763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2E1763">
        <w:rPr>
          <w:rFonts w:ascii="Arial" w:hAnsi="Arial" w:cs="Arial"/>
          <w:sz w:val="20"/>
          <w:szCs w:val="20"/>
        </w:rPr>
        <w:t>www.travailsuisse.ch</w:t>
      </w:r>
    </w:p>
    <w:sectPr w:rsidR="002E1763" w:rsidRPr="002E1763" w:rsidSect="00DD6B43">
      <w:pgSz w:w="11906" w:h="16838"/>
      <w:pgMar w:top="1418" w:right="1134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25" w:rsidRDefault="000B4425">
      <w:r>
        <w:separator/>
      </w:r>
    </w:p>
  </w:endnote>
  <w:endnote w:type="continuationSeparator" w:id="0">
    <w:p w:rsidR="000B4425" w:rsidRDefault="000B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25" w:rsidRDefault="000B4425">
      <w:r>
        <w:separator/>
      </w:r>
    </w:p>
  </w:footnote>
  <w:footnote w:type="continuationSeparator" w:id="0">
    <w:p w:rsidR="000B4425" w:rsidRDefault="000B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510"/>
    <w:multiLevelType w:val="hybridMultilevel"/>
    <w:tmpl w:val="793427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0692"/>
    <w:multiLevelType w:val="hybridMultilevel"/>
    <w:tmpl w:val="73FC1632"/>
    <w:lvl w:ilvl="0" w:tplc="3A0AF9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1198C"/>
    <w:multiLevelType w:val="hybridMultilevel"/>
    <w:tmpl w:val="A2E0FB08"/>
    <w:lvl w:ilvl="0" w:tplc="0807000F">
      <w:start w:val="1"/>
      <w:numFmt w:val="decimal"/>
      <w:lvlText w:val="%1."/>
      <w:lvlJc w:val="left"/>
      <w:pPr>
        <w:ind w:left="1470" w:hanging="360"/>
      </w:pPr>
    </w:lvl>
    <w:lvl w:ilvl="1" w:tplc="08070019" w:tentative="1">
      <w:start w:val="1"/>
      <w:numFmt w:val="lowerLetter"/>
      <w:lvlText w:val="%2."/>
      <w:lvlJc w:val="left"/>
      <w:pPr>
        <w:ind w:left="2190" w:hanging="360"/>
      </w:pPr>
    </w:lvl>
    <w:lvl w:ilvl="2" w:tplc="0807001B" w:tentative="1">
      <w:start w:val="1"/>
      <w:numFmt w:val="lowerRoman"/>
      <w:lvlText w:val="%3."/>
      <w:lvlJc w:val="right"/>
      <w:pPr>
        <w:ind w:left="2910" w:hanging="180"/>
      </w:pPr>
    </w:lvl>
    <w:lvl w:ilvl="3" w:tplc="0807000F" w:tentative="1">
      <w:start w:val="1"/>
      <w:numFmt w:val="decimal"/>
      <w:lvlText w:val="%4."/>
      <w:lvlJc w:val="left"/>
      <w:pPr>
        <w:ind w:left="3630" w:hanging="360"/>
      </w:pPr>
    </w:lvl>
    <w:lvl w:ilvl="4" w:tplc="08070019" w:tentative="1">
      <w:start w:val="1"/>
      <w:numFmt w:val="lowerLetter"/>
      <w:lvlText w:val="%5."/>
      <w:lvlJc w:val="left"/>
      <w:pPr>
        <w:ind w:left="4350" w:hanging="360"/>
      </w:pPr>
    </w:lvl>
    <w:lvl w:ilvl="5" w:tplc="0807001B" w:tentative="1">
      <w:start w:val="1"/>
      <w:numFmt w:val="lowerRoman"/>
      <w:lvlText w:val="%6."/>
      <w:lvlJc w:val="right"/>
      <w:pPr>
        <w:ind w:left="5070" w:hanging="180"/>
      </w:pPr>
    </w:lvl>
    <w:lvl w:ilvl="6" w:tplc="0807000F" w:tentative="1">
      <w:start w:val="1"/>
      <w:numFmt w:val="decimal"/>
      <w:lvlText w:val="%7."/>
      <w:lvlJc w:val="left"/>
      <w:pPr>
        <w:ind w:left="5790" w:hanging="360"/>
      </w:pPr>
    </w:lvl>
    <w:lvl w:ilvl="7" w:tplc="08070019" w:tentative="1">
      <w:start w:val="1"/>
      <w:numFmt w:val="lowerLetter"/>
      <w:lvlText w:val="%8."/>
      <w:lvlJc w:val="left"/>
      <w:pPr>
        <w:ind w:left="6510" w:hanging="360"/>
      </w:pPr>
    </w:lvl>
    <w:lvl w:ilvl="8" w:tplc="080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86048FA"/>
    <w:multiLevelType w:val="hybridMultilevel"/>
    <w:tmpl w:val="920C667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B0"/>
    <w:rsid w:val="00001D03"/>
    <w:rsid w:val="00002988"/>
    <w:rsid w:val="00004AD2"/>
    <w:rsid w:val="000120E9"/>
    <w:rsid w:val="00012B50"/>
    <w:rsid w:val="0001498A"/>
    <w:rsid w:val="000166CD"/>
    <w:rsid w:val="0002235D"/>
    <w:rsid w:val="00025481"/>
    <w:rsid w:val="000260A8"/>
    <w:rsid w:val="00027D43"/>
    <w:rsid w:val="00030188"/>
    <w:rsid w:val="000303EC"/>
    <w:rsid w:val="00030A8D"/>
    <w:rsid w:val="00035C66"/>
    <w:rsid w:val="00044DE9"/>
    <w:rsid w:val="00050CA0"/>
    <w:rsid w:val="00053100"/>
    <w:rsid w:val="000554B8"/>
    <w:rsid w:val="00055BC5"/>
    <w:rsid w:val="00060CAA"/>
    <w:rsid w:val="00067467"/>
    <w:rsid w:val="000777C1"/>
    <w:rsid w:val="00080523"/>
    <w:rsid w:val="00080BDB"/>
    <w:rsid w:val="00081694"/>
    <w:rsid w:val="00081B51"/>
    <w:rsid w:val="00090993"/>
    <w:rsid w:val="000A11F1"/>
    <w:rsid w:val="000B4425"/>
    <w:rsid w:val="000B6FDC"/>
    <w:rsid w:val="000C2F03"/>
    <w:rsid w:val="000D1A6E"/>
    <w:rsid w:val="000E273A"/>
    <w:rsid w:val="000E4A74"/>
    <w:rsid w:val="000E5D0C"/>
    <w:rsid w:val="000E6537"/>
    <w:rsid w:val="000F3B2C"/>
    <w:rsid w:val="00101613"/>
    <w:rsid w:val="0010776F"/>
    <w:rsid w:val="00107B59"/>
    <w:rsid w:val="00110D6D"/>
    <w:rsid w:val="00112501"/>
    <w:rsid w:val="00112D1A"/>
    <w:rsid w:val="00113576"/>
    <w:rsid w:val="00117E06"/>
    <w:rsid w:val="00120644"/>
    <w:rsid w:val="001217B5"/>
    <w:rsid w:val="00122F41"/>
    <w:rsid w:val="001230C2"/>
    <w:rsid w:val="00126FA2"/>
    <w:rsid w:val="00130C55"/>
    <w:rsid w:val="00136678"/>
    <w:rsid w:val="0014098A"/>
    <w:rsid w:val="00142AB6"/>
    <w:rsid w:val="00150967"/>
    <w:rsid w:val="00154B5E"/>
    <w:rsid w:val="0016684D"/>
    <w:rsid w:val="00172564"/>
    <w:rsid w:val="00172734"/>
    <w:rsid w:val="00172F98"/>
    <w:rsid w:val="0017741B"/>
    <w:rsid w:val="001774F6"/>
    <w:rsid w:val="00180DD4"/>
    <w:rsid w:val="00183C29"/>
    <w:rsid w:val="00190FB5"/>
    <w:rsid w:val="001B0E01"/>
    <w:rsid w:val="001B1956"/>
    <w:rsid w:val="001B1BBD"/>
    <w:rsid w:val="001B28B5"/>
    <w:rsid w:val="001B46D5"/>
    <w:rsid w:val="001B7997"/>
    <w:rsid w:val="001C079C"/>
    <w:rsid w:val="001C09BD"/>
    <w:rsid w:val="001C153C"/>
    <w:rsid w:val="001C50AB"/>
    <w:rsid w:val="001C718E"/>
    <w:rsid w:val="001D679B"/>
    <w:rsid w:val="001E19A0"/>
    <w:rsid w:val="001E258B"/>
    <w:rsid w:val="001E2C2D"/>
    <w:rsid w:val="001E6F74"/>
    <w:rsid w:val="001F21DD"/>
    <w:rsid w:val="001F3301"/>
    <w:rsid w:val="001F3920"/>
    <w:rsid w:val="001F63F1"/>
    <w:rsid w:val="001F722A"/>
    <w:rsid w:val="001F7B2C"/>
    <w:rsid w:val="00200019"/>
    <w:rsid w:val="002241DA"/>
    <w:rsid w:val="0022650E"/>
    <w:rsid w:val="002342CC"/>
    <w:rsid w:val="00242302"/>
    <w:rsid w:val="002454B3"/>
    <w:rsid w:val="00250BA8"/>
    <w:rsid w:val="00251E6E"/>
    <w:rsid w:val="00253D20"/>
    <w:rsid w:val="00255518"/>
    <w:rsid w:val="00260179"/>
    <w:rsid w:val="00273111"/>
    <w:rsid w:val="002753FE"/>
    <w:rsid w:val="0028031B"/>
    <w:rsid w:val="00280CC7"/>
    <w:rsid w:val="00287EE6"/>
    <w:rsid w:val="002931B9"/>
    <w:rsid w:val="00296583"/>
    <w:rsid w:val="002A2BA9"/>
    <w:rsid w:val="002A5228"/>
    <w:rsid w:val="002A6ADB"/>
    <w:rsid w:val="002B3829"/>
    <w:rsid w:val="002B6A9E"/>
    <w:rsid w:val="002C2600"/>
    <w:rsid w:val="002C2675"/>
    <w:rsid w:val="002C57C2"/>
    <w:rsid w:val="002C7362"/>
    <w:rsid w:val="002E0C8D"/>
    <w:rsid w:val="002E1763"/>
    <w:rsid w:val="002E335B"/>
    <w:rsid w:val="002E6311"/>
    <w:rsid w:val="002F67B2"/>
    <w:rsid w:val="00307D30"/>
    <w:rsid w:val="003100F6"/>
    <w:rsid w:val="00311AE0"/>
    <w:rsid w:val="0031558C"/>
    <w:rsid w:val="003164C8"/>
    <w:rsid w:val="0032401E"/>
    <w:rsid w:val="00325037"/>
    <w:rsid w:val="0032604F"/>
    <w:rsid w:val="00336201"/>
    <w:rsid w:val="00341960"/>
    <w:rsid w:val="00344D92"/>
    <w:rsid w:val="0034533A"/>
    <w:rsid w:val="00346EBB"/>
    <w:rsid w:val="00350807"/>
    <w:rsid w:val="00351F79"/>
    <w:rsid w:val="00352981"/>
    <w:rsid w:val="00355122"/>
    <w:rsid w:val="00362F37"/>
    <w:rsid w:val="0036554D"/>
    <w:rsid w:val="003721F2"/>
    <w:rsid w:val="00381F07"/>
    <w:rsid w:val="003857CE"/>
    <w:rsid w:val="003902B2"/>
    <w:rsid w:val="003943DD"/>
    <w:rsid w:val="003A36A0"/>
    <w:rsid w:val="003A4773"/>
    <w:rsid w:val="003B1420"/>
    <w:rsid w:val="003B501A"/>
    <w:rsid w:val="003C7D2E"/>
    <w:rsid w:val="003D0D49"/>
    <w:rsid w:val="003D2D56"/>
    <w:rsid w:val="003D37B8"/>
    <w:rsid w:val="003D4C7B"/>
    <w:rsid w:val="003D6297"/>
    <w:rsid w:val="003E4B55"/>
    <w:rsid w:val="003E5249"/>
    <w:rsid w:val="003F0715"/>
    <w:rsid w:val="003F2AE5"/>
    <w:rsid w:val="003F3C1C"/>
    <w:rsid w:val="003F470F"/>
    <w:rsid w:val="003F4F1A"/>
    <w:rsid w:val="003F5D98"/>
    <w:rsid w:val="00400E7D"/>
    <w:rsid w:val="004015AE"/>
    <w:rsid w:val="0040190F"/>
    <w:rsid w:val="004023E3"/>
    <w:rsid w:val="00405967"/>
    <w:rsid w:val="004144AF"/>
    <w:rsid w:val="0041731F"/>
    <w:rsid w:val="00425DBC"/>
    <w:rsid w:val="0042611E"/>
    <w:rsid w:val="004373B6"/>
    <w:rsid w:val="00441E7A"/>
    <w:rsid w:val="00444668"/>
    <w:rsid w:val="004447C2"/>
    <w:rsid w:val="00447A5F"/>
    <w:rsid w:val="00457F22"/>
    <w:rsid w:val="00460F3B"/>
    <w:rsid w:val="00461E42"/>
    <w:rsid w:val="00464020"/>
    <w:rsid w:val="004745DE"/>
    <w:rsid w:val="0047545D"/>
    <w:rsid w:val="00475B98"/>
    <w:rsid w:val="00482DE0"/>
    <w:rsid w:val="00493E7E"/>
    <w:rsid w:val="004A04B5"/>
    <w:rsid w:val="004A08AD"/>
    <w:rsid w:val="004A18CB"/>
    <w:rsid w:val="004A243D"/>
    <w:rsid w:val="004A4CD5"/>
    <w:rsid w:val="004A6745"/>
    <w:rsid w:val="004B0E0F"/>
    <w:rsid w:val="004B1122"/>
    <w:rsid w:val="004B426B"/>
    <w:rsid w:val="004B62A3"/>
    <w:rsid w:val="004B6D9A"/>
    <w:rsid w:val="004D3695"/>
    <w:rsid w:val="004D51F6"/>
    <w:rsid w:val="004D6B5B"/>
    <w:rsid w:val="004D7683"/>
    <w:rsid w:val="004E0FFB"/>
    <w:rsid w:val="004E44B1"/>
    <w:rsid w:val="004E4B2A"/>
    <w:rsid w:val="004F0EB9"/>
    <w:rsid w:val="004F34CB"/>
    <w:rsid w:val="004F41AD"/>
    <w:rsid w:val="00501EED"/>
    <w:rsid w:val="00505ECA"/>
    <w:rsid w:val="0050786B"/>
    <w:rsid w:val="005120AB"/>
    <w:rsid w:val="005146A9"/>
    <w:rsid w:val="00520CDE"/>
    <w:rsid w:val="00522176"/>
    <w:rsid w:val="00522FB2"/>
    <w:rsid w:val="005309DA"/>
    <w:rsid w:val="00536B20"/>
    <w:rsid w:val="0053737C"/>
    <w:rsid w:val="00550828"/>
    <w:rsid w:val="00554072"/>
    <w:rsid w:val="00560CD2"/>
    <w:rsid w:val="00565022"/>
    <w:rsid w:val="00565C8A"/>
    <w:rsid w:val="00571EDA"/>
    <w:rsid w:val="005769C7"/>
    <w:rsid w:val="005808AD"/>
    <w:rsid w:val="00581C07"/>
    <w:rsid w:val="0059582E"/>
    <w:rsid w:val="005961D4"/>
    <w:rsid w:val="005B0B75"/>
    <w:rsid w:val="005B505F"/>
    <w:rsid w:val="005B57E2"/>
    <w:rsid w:val="005C5660"/>
    <w:rsid w:val="005C631E"/>
    <w:rsid w:val="005D173E"/>
    <w:rsid w:val="005D476B"/>
    <w:rsid w:val="005D6108"/>
    <w:rsid w:val="005F2E3B"/>
    <w:rsid w:val="005F3145"/>
    <w:rsid w:val="005F3876"/>
    <w:rsid w:val="006010CB"/>
    <w:rsid w:val="00606A3B"/>
    <w:rsid w:val="006112F4"/>
    <w:rsid w:val="006131B7"/>
    <w:rsid w:val="006143FE"/>
    <w:rsid w:val="006170B1"/>
    <w:rsid w:val="00617C65"/>
    <w:rsid w:val="00621907"/>
    <w:rsid w:val="00624BA9"/>
    <w:rsid w:val="00626B88"/>
    <w:rsid w:val="00630F1A"/>
    <w:rsid w:val="00633163"/>
    <w:rsid w:val="00635E2D"/>
    <w:rsid w:val="0064117F"/>
    <w:rsid w:val="0066101E"/>
    <w:rsid w:val="00671D2B"/>
    <w:rsid w:val="00673C1C"/>
    <w:rsid w:val="00673EEB"/>
    <w:rsid w:val="006748BF"/>
    <w:rsid w:val="00685597"/>
    <w:rsid w:val="00693F34"/>
    <w:rsid w:val="00694117"/>
    <w:rsid w:val="00697026"/>
    <w:rsid w:val="006A366F"/>
    <w:rsid w:val="006A40EE"/>
    <w:rsid w:val="006B1D8F"/>
    <w:rsid w:val="006B21BF"/>
    <w:rsid w:val="006B7C5D"/>
    <w:rsid w:val="006C4BCF"/>
    <w:rsid w:val="006C53D7"/>
    <w:rsid w:val="006D091B"/>
    <w:rsid w:val="006D13D7"/>
    <w:rsid w:val="006D1510"/>
    <w:rsid w:val="006D1D6B"/>
    <w:rsid w:val="006E26F5"/>
    <w:rsid w:val="006E3A4A"/>
    <w:rsid w:val="007031D8"/>
    <w:rsid w:val="00710053"/>
    <w:rsid w:val="00710092"/>
    <w:rsid w:val="00711D18"/>
    <w:rsid w:val="00721651"/>
    <w:rsid w:val="0072592E"/>
    <w:rsid w:val="00726C4E"/>
    <w:rsid w:val="007328BF"/>
    <w:rsid w:val="00736DCF"/>
    <w:rsid w:val="00744C48"/>
    <w:rsid w:val="00745812"/>
    <w:rsid w:val="00746400"/>
    <w:rsid w:val="00746DB5"/>
    <w:rsid w:val="00746E1C"/>
    <w:rsid w:val="00752FC2"/>
    <w:rsid w:val="00756435"/>
    <w:rsid w:val="00760078"/>
    <w:rsid w:val="007607F1"/>
    <w:rsid w:val="007622B6"/>
    <w:rsid w:val="00762A32"/>
    <w:rsid w:val="007719B7"/>
    <w:rsid w:val="00776936"/>
    <w:rsid w:val="00784CE0"/>
    <w:rsid w:val="0079025C"/>
    <w:rsid w:val="007903F3"/>
    <w:rsid w:val="0079083B"/>
    <w:rsid w:val="00791FB4"/>
    <w:rsid w:val="007953C4"/>
    <w:rsid w:val="00795D8F"/>
    <w:rsid w:val="007A739B"/>
    <w:rsid w:val="007B218D"/>
    <w:rsid w:val="007B3426"/>
    <w:rsid w:val="007C3566"/>
    <w:rsid w:val="007D5B1B"/>
    <w:rsid w:val="007E0E5E"/>
    <w:rsid w:val="007E3036"/>
    <w:rsid w:val="007F195B"/>
    <w:rsid w:val="007F25BF"/>
    <w:rsid w:val="007F36E3"/>
    <w:rsid w:val="007F3F68"/>
    <w:rsid w:val="007F411A"/>
    <w:rsid w:val="007F6B57"/>
    <w:rsid w:val="0080513F"/>
    <w:rsid w:val="008158D6"/>
    <w:rsid w:val="0082233D"/>
    <w:rsid w:val="0082263F"/>
    <w:rsid w:val="0082435D"/>
    <w:rsid w:val="00825A7F"/>
    <w:rsid w:val="0083738C"/>
    <w:rsid w:val="00843490"/>
    <w:rsid w:val="008471A6"/>
    <w:rsid w:val="00854789"/>
    <w:rsid w:val="008669BC"/>
    <w:rsid w:val="00873D7D"/>
    <w:rsid w:val="00874AB0"/>
    <w:rsid w:val="00876AF2"/>
    <w:rsid w:val="0088059F"/>
    <w:rsid w:val="008816C1"/>
    <w:rsid w:val="00892BAD"/>
    <w:rsid w:val="008A0807"/>
    <w:rsid w:val="008A17B0"/>
    <w:rsid w:val="008A3C6E"/>
    <w:rsid w:val="008A6FB3"/>
    <w:rsid w:val="008B1E16"/>
    <w:rsid w:val="008B2905"/>
    <w:rsid w:val="008B6FA5"/>
    <w:rsid w:val="008C2BF0"/>
    <w:rsid w:val="008C6B19"/>
    <w:rsid w:val="008D04C0"/>
    <w:rsid w:val="008D1414"/>
    <w:rsid w:val="008E06E8"/>
    <w:rsid w:val="008F2174"/>
    <w:rsid w:val="008F46F6"/>
    <w:rsid w:val="00900647"/>
    <w:rsid w:val="00915C74"/>
    <w:rsid w:val="009205BB"/>
    <w:rsid w:val="00921DA9"/>
    <w:rsid w:val="00922855"/>
    <w:rsid w:val="0092415C"/>
    <w:rsid w:val="00936B56"/>
    <w:rsid w:val="0094095B"/>
    <w:rsid w:val="00942035"/>
    <w:rsid w:val="009423CA"/>
    <w:rsid w:val="00943084"/>
    <w:rsid w:val="00951F4E"/>
    <w:rsid w:val="00953269"/>
    <w:rsid w:val="0095457F"/>
    <w:rsid w:val="009549B5"/>
    <w:rsid w:val="00955134"/>
    <w:rsid w:val="00962D16"/>
    <w:rsid w:val="00964814"/>
    <w:rsid w:val="009726DC"/>
    <w:rsid w:val="00974D59"/>
    <w:rsid w:val="00983A78"/>
    <w:rsid w:val="00986E4C"/>
    <w:rsid w:val="00987FCD"/>
    <w:rsid w:val="00990032"/>
    <w:rsid w:val="00990D44"/>
    <w:rsid w:val="00994473"/>
    <w:rsid w:val="009975CD"/>
    <w:rsid w:val="009A1D9B"/>
    <w:rsid w:val="009A333C"/>
    <w:rsid w:val="009B7CEA"/>
    <w:rsid w:val="009C2883"/>
    <w:rsid w:val="009C42A4"/>
    <w:rsid w:val="009C538B"/>
    <w:rsid w:val="009D5676"/>
    <w:rsid w:val="009D731B"/>
    <w:rsid w:val="009D7CAD"/>
    <w:rsid w:val="009E03E5"/>
    <w:rsid w:val="009E4293"/>
    <w:rsid w:val="009E6BF9"/>
    <w:rsid w:val="009F2CAD"/>
    <w:rsid w:val="00A010CB"/>
    <w:rsid w:val="00A03909"/>
    <w:rsid w:val="00A05951"/>
    <w:rsid w:val="00A06A9B"/>
    <w:rsid w:val="00A07BE2"/>
    <w:rsid w:val="00A15FBC"/>
    <w:rsid w:val="00A21F4C"/>
    <w:rsid w:val="00A241E7"/>
    <w:rsid w:val="00A35A3C"/>
    <w:rsid w:val="00A475B3"/>
    <w:rsid w:val="00A549F1"/>
    <w:rsid w:val="00A71CB4"/>
    <w:rsid w:val="00A73D4B"/>
    <w:rsid w:val="00A75EF4"/>
    <w:rsid w:val="00A76E74"/>
    <w:rsid w:val="00A81D38"/>
    <w:rsid w:val="00A8222F"/>
    <w:rsid w:val="00A825F5"/>
    <w:rsid w:val="00A85934"/>
    <w:rsid w:val="00A86FB8"/>
    <w:rsid w:val="00A90A48"/>
    <w:rsid w:val="00A91D3A"/>
    <w:rsid w:val="00A92FE4"/>
    <w:rsid w:val="00A93769"/>
    <w:rsid w:val="00AA199F"/>
    <w:rsid w:val="00AA2974"/>
    <w:rsid w:val="00AA61B1"/>
    <w:rsid w:val="00AA6847"/>
    <w:rsid w:val="00AB0DF3"/>
    <w:rsid w:val="00AB427C"/>
    <w:rsid w:val="00AC0714"/>
    <w:rsid w:val="00AC4CEA"/>
    <w:rsid w:val="00AD4744"/>
    <w:rsid w:val="00AE2978"/>
    <w:rsid w:val="00AE4094"/>
    <w:rsid w:val="00AE4F32"/>
    <w:rsid w:val="00AF4357"/>
    <w:rsid w:val="00AF444A"/>
    <w:rsid w:val="00AF6CEE"/>
    <w:rsid w:val="00B03D11"/>
    <w:rsid w:val="00B03F73"/>
    <w:rsid w:val="00B075BB"/>
    <w:rsid w:val="00B16FE7"/>
    <w:rsid w:val="00B2319F"/>
    <w:rsid w:val="00B26E64"/>
    <w:rsid w:val="00B30F94"/>
    <w:rsid w:val="00B32F39"/>
    <w:rsid w:val="00B34FB6"/>
    <w:rsid w:val="00B351C3"/>
    <w:rsid w:val="00B36416"/>
    <w:rsid w:val="00B36D54"/>
    <w:rsid w:val="00B40827"/>
    <w:rsid w:val="00B45A54"/>
    <w:rsid w:val="00B5355F"/>
    <w:rsid w:val="00B54D7B"/>
    <w:rsid w:val="00B5588C"/>
    <w:rsid w:val="00B675D7"/>
    <w:rsid w:val="00B730F7"/>
    <w:rsid w:val="00B8246B"/>
    <w:rsid w:val="00B87A3D"/>
    <w:rsid w:val="00B94ADB"/>
    <w:rsid w:val="00BA1AFA"/>
    <w:rsid w:val="00BA6853"/>
    <w:rsid w:val="00BB09FA"/>
    <w:rsid w:val="00BB1AEE"/>
    <w:rsid w:val="00BB5ECC"/>
    <w:rsid w:val="00BD127A"/>
    <w:rsid w:val="00BD33F2"/>
    <w:rsid w:val="00BD3E00"/>
    <w:rsid w:val="00BD51BB"/>
    <w:rsid w:val="00BD7099"/>
    <w:rsid w:val="00BE00F2"/>
    <w:rsid w:val="00BE1EA4"/>
    <w:rsid w:val="00BE6B66"/>
    <w:rsid w:val="00BF386D"/>
    <w:rsid w:val="00BF5765"/>
    <w:rsid w:val="00C0206C"/>
    <w:rsid w:val="00C02B42"/>
    <w:rsid w:val="00C05BC0"/>
    <w:rsid w:val="00C07FB6"/>
    <w:rsid w:val="00C10F46"/>
    <w:rsid w:val="00C13B15"/>
    <w:rsid w:val="00C17896"/>
    <w:rsid w:val="00C35FD7"/>
    <w:rsid w:val="00C40DEF"/>
    <w:rsid w:val="00C4129D"/>
    <w:rsid w:val="00C45BD8"/>
    <w:rsid w:val="00C47829"/>
    <w:rsid w:val="00C51CA7"/>
    <w:rsid w:val="00C54568"/>
    <w:rsid w:val="00C54F21"/>
    <w:rsid w:val="00C6011A"/>
    <w:rsid w:val="00C73624"/>
    <w:rsid w:val="00C92C8C"/>
    <w:rsid w:val="00C932C8"/>
    <w:rsid w:val="00C96206"/>
    <w:rsid w:val="00C96213"/>
    <w:rsid w:val="00C976C3"/>
    <w:rsid w:val="00CB158E"/>
    <w:rsid w:val="00CB30B5"/>
    <w:rsid w:val="00CB4FCA"/>
    <w:rsid w:val="00CB58F8"/>
    <w:rsid w:val="00CC0696"/>
    <w:rsid w:val="00CC1F2D"/>
    <w:rsid w:val="00CC2896"/>
    <w:rsid w:val="00CC49CF"/>
    <w:rsid w:val="00CD51FE"/>
    <w:rsid w:val="00CD59B4"/>
    <w:rsid w:val="00CD72D4"/>
    <w:rsid w:val="00CE0C03"/>
    <w:rsid w:val="00CE7103"/>
    <w:rsid w:val="00CF5FC0"/>
    <w:rsid w:val="00D0142A"/>
    <w:rsid w:val="00D01B27"/>
    <w:rsid w:val="00D05BC8"/>
    <w:rsid w:val="00D061E7"/>
    <w:rsid w:val="00D10A12"/>
    <w:rsid w:val="00D118D1"/>
    <w:rsid w:val="00D1197D"/>
    <w:rsid w:val="00D1665F"/>
    <w:rsid w:val="00D17E01"/>
    <w:rsid w:val="00D202F1"/>
    <w:rsid w:val="00D24F78"/>
    <w:rsid w:val="00D2733F"/>
    <w:rsid w:val="00D30A2C"/>
    <w:rsid w:val="00D36266"/>
    <w:rsid w:val="00D36DD7"/>
    <w:rsid w:val="00D3745A"/>
    <w:rsid w:val="00D42EF8"/>
    <w:rsid w:val="00D56F8D"/>
    <w:rsid w:val="00D57BDA"/>
    <w:rsid w:val="00D601A3"/>
    <w:rsid w:val="00D60693"/>
    <w:rsid w:val="00D63994"/>
    <w:rsid w:val="00D64932"/>
    <w:rsid w:val="00D72059"/>
    <w:rsid w:val="00D724E6"/>
    <w:rsid w:val="00D73571"/>
    <w:rsid w:val="00D77BB6"/>
    <w:rsid w:val="00D82253"/>
    <w:rsid w:val="00D83F3A"/>
    <w:rsid w:val="00D95300"/>
    <w:rsid w:val="00DA0640"/>
    <w:rsid w:val="00DA312E"/>
    <w:rsid w:val="00DA5AB8"/>
    <w:rsid w:val="00DA78A2"/>
    <w:rsid w:val="00DB1C41"/>
    <w:rsid w:val="00DB3F68"/>
    <w:rsid w:val="00DB435D"/>
    <w:rsid w:val="00DB6288"/>
    <w:rsid w:val="00DB72C7"/>
    <w:rsid w:val="00DB7725"/>
    <w:rsid w:val="00DC24CF"/>
    <w:rsid w:val="00DC424C"/>
    <w:rsid w:val="00DD2AF9"/>
    <w:rsid w:val="00DD6B43"/>
    <w:rsid w:val="00DF2DF2"/>
    <w:rsid w:val="00DF368C"/>
    <w:rsid w:val="00DF4AB0"/>
    <w:rsid w:val="00E00BD1"/>
    <w:rsid w:val="00E011E4"/>
    <w:rsid w:val="00E05BB8"/>
    <w:rsid w:val="00E06CD3"/>
    <w:rsid w:val="00E1099C"/>
    <w:rsid w:val="00E1313A"/>
    <w:rsid w:val="00E14167"/>
    <w:rsid w:val="00E2068F"/>
    <w:rsid w:val="00E30FB1"/>
    <w:rsid w:val="00E4002D"/>
    <w:rsid w:val="00E4671D"/>
    <w:rsid w:val="00E47211"/>
    <w:rsid w:val="00E53CA0"/>
    <w:rsid w:val="00E72D2C"/>
    <w:rsid w:val="00E771BC"/>
    <w:rsid w:val="00E8012D"/>
    <w:rsid w:val="00E84BD6"/>
    <w:rsid w:val="00E85201"/>
    <w:rsid w:val="00E85FF9"/>
    <w:rsid w:val="00E93CA8"/>
    <w:rsid w:val="00E944CF"/>
    <w:rsid w:val="00E956D5"/>
    <w:rsid w:val="00EB6232"/>
    <w:rsid w:val="00EC2832"/>
    <w:rsid w:val="00ED184C"/>
    <w:rsid w:val="00EE02D1"/>
    <w:rsid w:val="00EE3DB0"/>
    <w:rsid w:val="00EE6083"/>
    <w:rsid w:val="00EF07FA"/>
    <w:rsid w:val="00EF2C99"/>
    <w:rsid w:val="00EF4944"/>
    <w:rsid w:val="00EF5479"/>
    <w:rsid w:val="00F00103"/>
    <w:rsid w:val="00F01DD6"/>
    <w:rsid w:val="00F06856"/>
    <w:rsid w:val="00F2291B"/>
    <w:rsid w:val="00F30CDE"/>
    <w:rsid w:val="00F3101E"/>
    <w:rsid w:val="00F3151E"/>
    <w:rsid w:val="00F31A82"/>
    <w:rsid w:val="00F3267A"/>
    <w:rsid w:val="00F33887"/>
    <w:rsid w:val="00F41C97"/>
    <w:rsid w:val="00F44F55"/>
    <w:rsid w:val="00F56359"/>
    <w:rsid w:val="00F700CA"/>
    <w:rsid w:val="00F860D4"/>
    <w:rsid w:val="00F952E1"/>
    <w:rsid w:val="00F97C19"/>
    <w:rsid w:val="00FA2359"/>
    <w:rsid w:val="00FA6F19"/>
    <w:rsid w:val="00FB113A"/>
    <w:rsid w:val="00FB12D3"/>
    <w:rsid w:val="00FB13F1"/>
    <w:rsid w:val="00FB27A3"/>
    <w:rsid w:val="00FC5D58"/>
    <w:rsid w:val="00FD366E"/>
    <w:rsid w:val="00FD4129"/>
    <w:rsid w:val="00FD436F"/>
    <w:rsid w:val="00FD6EB8"/>
    <w:rsid w:val="00FE0218"/>
    <w:rsid w:val="00FE028F"/>
    <w:rsid w:val="00FE6AE2"/>
    <w:rsid w:val="00FE7FC4"/>
    <w:rsid w:val="00FF0CCF"/>
    <w:rsid w:val="00FF315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6C23F-C6A6-47D9-9050-4B3E42A2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AB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BookAntiqua">
    <w:name w:val="Formatvorlage Book Antiqua"/>
    <w:rsid w:val="00BE6B66"/>
    <w:rPr>
      <w:rFonts w:ascii="Book Antiqua" w:hAnsi="Book Antiqua"/>
    </w:rPr>
  </w:style>
  <w:style w:type="paragraph" w:styleId="Sprechblasentext">
    <w:name w:val="Balloon Text"/>
    <w:basedOn w:val="Standard"/>
    <w:semiHidden/>
    <w:rsid w:val="00F3101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310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027D43"/>
    <w:rPr>
      <w:sz w:val="20"/>
      <w:szCs w:val="20"/>
    </w:rPr>
  </w:style>
  <w:style w:type="character" w:styleId="Funotenzeichen">
    <w:name w:val="footnote reference"/>
    <w:semiHidden/>
    <w:rsid w:val="00027D43"/>
    <w:rPr>
      <w:vertAlign w:val="superscript"/>
    </w:rPr>
  </w:style>
  <w:style w:type="table" w:styleId="Tabellenraster">
    <w:name w:val="Table Grid"/>
    <w:basedOn w:val="NormaleTabelle"/>
    <w:rsid w:val="0024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Managerlöhne und Lohnschere</vt:lpstr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Managerlöhne und Lohnschere</dc:title>
  <dc:subject/>
  <dc:creator>PC2</dc:creator>
  <cp:keywords/>
  <dc:description/>
  <cp:lastModifiedBy>Linda Rosenkranz</cp:lastModifiedBy>
  <cp:revision>4</cp:revision>
  <cp:lastPrinted>2016-06-09T13:14:00Z</cp:lastPrinted>
  <dcterms:created xsi:type="dcterms:W3CDTF">2016-06-16T13:39:00Z</dcterms:created>
  <dcterms:modified xsi:type="dcterms:W3CDTF">2016-06-20T12:33:00Z</dcterms:modified>
</cp:coreProperties>
</file>