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E4" w:rsidRPr="00F84024" w:rsidRDefault="00202CE4" w:rsidP="001D7E3A">
      <w:pPr>
        <w:spacing w:after="0" w:line="300" w:lineRule="exact"/>
        <w:rPr>
          <w:rFonts w:ascii="Arial" w:hAnsi="Arial" w:cs="Arial"/>
          <w:sz w:val="20"/>
          <w:szCs w:val="20"/>
          <w:lang w:val="fr-FR"/>
        </w:rPr>
      </w:pPr>
      <w:r w:rsidRPr="00F84024">
        <w:rPr>
          <w:rFonts w:ascii="Arial" w:hAnsi="Arial" w:cs="Arial"/>
          <w:sz w:val="20"/>
          <w:szCs w:val="20"/>
          <w:lang w:val="fr-FR"/>
        </w:rPr>
        <w:t>Service médias Travail.Suisse – Edition du 13 avril 2015</w:t>
      </w:r>
    </w:p>
    <w:p w:rsidR="00202CE4" w:rsidRPr="00F84024" w:rsidRDefault="00202CE4" w:rsidP="001D7E3A">
      <w:pPr>
        <w:spacing w:after="0" w:line="300" w:lineRule="exact"/>
        <w:rPr>
          <w:rFonts w:ascii="Arial" w:hAnsi="Arial" w:cs="Arial"/>
          <w:b/>
          <w:sz w:val="20"/>
          <w:szCs w:val="20"/>
          <w:lang w:val="fr-FR"/>
        </w:rPr>
      </w:pPr>
    </w:p>
    <w:p w:rsidR="00202CE4" w:rsidRPr="00F84024" w:rsidRDefault="00202CE4" w:rsidP="001D7E3A">
      <w:pPr>
        <w:spacing w:after="0" w:line="300" w:lineRule="exact"/>
        <w:rPr>
          <w:rFonts w:ascii="Arial" w:hAnsi="Arial" w:cs="Arial"/>
          <w:b/>
          <w:sz w:val="20"/>
          <w:szCs w:val="20"/>
          <w:lang w:val="fr-FR"/>
        </w:rPr>
      </w:pPr>
    </w:p>
    <w:p w:rsidR="00202CE4" w:rsidRPr="00F84024" w:rsidRDefault="00202CE4" w:rsidP="001D7E3A">
      <w:pPr>
        <w:spacing w:after="0" w:line="300" w:lineRule="exact"/>
        <w:rPr>
          <w:rFonts w:ascii="Arial" w:hAnsi="Arial" w:cs="Arial"/>
          <w:b/>
          <w:sz w:val="20"/>
          <w:szCs w:val="20"/>
          <w:lang w:val="fr-FR"/>
        </w:rPr>
      </w:pPr>
    </w:p>
    <w:p w:rsidR="00202CE4" w:rsidRPr="00F84024" w:rsidRDefault="00202CE4" w:rsidP="001D7E3A">
      <w:pPr>
        <w:spacing w:after="0" w:line="300" w:lineRule="exact"/>
        <w:rPr>
          <w:rFonts w:ascii="Arial" w:hAnsi="Arial" w:cs="Arial"/>
          <w:b/>
          <w:sz w:val="20"/>
          <w:szCs w:val="20"/>
          <w:lang w:val="fr-FR"/>
        </w:rPr>
      </w:pPr>
    </w:p>
    <w:p w:rsidR="00202CE4" w:rsidRPr="00F84024" w:rsidRDefault="00202CE4" w:rsidP="001D7E3A">
      <w:pPr>
        <w:spacing w:after="0" w:line="300" w:lineRule="exact"/>
        <w:rPr>
          <w:rFonts w:ascii="Arial" w:hAnsi="Arial" w:cs="Arial"/>
          <w:b/>
          <w:sz w:val="20"/>
          <w:szCs w:val="20"/>
          <w:lang w:val="fr-FR"/>
        </w:rPr>
      </w:pPr>
    </w:p>
    <w:p w:rsidR="00202CE4" w:rsidRPr="00F84024" w:rsidRDefault="00202CE4" w:rsidP="001D7E3A">
      <w:pPr>
        <w:spacing w:after="0" w:line="300" w:lineRule="exact"/>
        <w:rPr>
          <w:rFonts w:ascii="Arial" w:hAnsi="Arial" w:cs="Arial"/>
          <w:i/>
          <w:lang w:val="fr-FR"/>
        </w:rPr>
      </w:pPr>
      <w:r w:rsidRPr="00F84024">
        <w:rPr>
          <w:rFonts w:ascii="Arial" w:hAnsi="Arial" w:cs="Arial"/>
          <w:b/>
          <w:sz w:val="30"/>
          <w:szCs w:val="30"/>
          <w:lang w:val="fr-FR"/>
        </w:rPr>
        <w:t>Le congé</w:t>
      </w:r>
      <w:r>
        <w:rPr>
          <w:rFonts w:ascii="Arial" w:hAnsi="Arial" w:cs="Arial"/>
          <w:b/>
          <w:sz w:val="30"/>
          <w:szCs w:val="30"/>
          <w:lang w:val="fr-FR"/>
        </w:rPr>
        <w:t>-</w:t>
      </w:r>
      <w:r w:rsidRPr="00F84024">
        <w:rPr>
          <w:rFonts w:ascii="Arial" w:hAnsi="Arial" w:cs="Arial"/>
          <w:b/>
          <w:sz w:val="30"/>
          <w:szCs w:val="30"/>
          <w:lang w:val="fr-FR"/>
        </w:rPr>
        <w:t>paternité est nécessaire,</w:t>
      </w:r>
      <w:r>
        <w:rPr>
          <w:rFonts w:ascii="Arial" w:hAnsi="Arial" w:cs="Arial"/>
          <w:b/>
          <w:sz w:val="30"/>
          <w:szCs w:val="30"/>
          <w:lang w:val="fr-FR"/>
        </w:rPr>
        <w:t xml:space="preserve"> opportun et son financement réalisable</w:t>
      </w:r>
    </w:p>
    <w:p w:rsidR="00202CE4" w:rsidRPr="00F84024" w:rsidRDefault="00202CE4" w:rsidP="001D7E3A">
      <w:pPr>
        <w:spacing w:after="0" w:line="300" w:lineRule="exact"/>
        <w:rPr>
          <w:rFonts w:ascii="Arial" w:hAnsi="Arial" w:cs="Arial"/>
          <w:b/>
          <w:sz w:val="20"/>
          <w:szCs w:val="20"/>
          <w:lang w:val="fr-FR"/>
        </w:rPr>
      </w:pPr>
    </w:p>
    <w:p w:rsidR="00202CE4" w:rsidRPr="00E960B6" w:rsidRDefault="00202CE4" w:rsidP="001D7E3A">
      <w:pPr>
        <w:spacing w:after="0" w:line="300" w:lineRule="exact"/>
        <w:rPr>
          <w:rFonts w:ascii="Arial" w:hAnsi="Arial" w:cs="Arial"/>
          <w:b/>
          <w:sz w:val="20"/>
          <w:szCs w:val="20"/>
          <w:lang w:val="fr-FR"/>
        </w:rPr>
      </w:pPr>
      <w:r w:rsidRPr="00F84024">
        <w:rPr>
          <w:rFonts w:ascii="Arial" w:hAnsi="Arial" w:cs="Arial"/>
          <w:b/>
          <w:sz w:val="20"/>
          <w:szCs w:val="20"/>
          <w:lang w:val="fr-FR"/>
        </w:rPr>
        <w:t>Le mercredi 15 avril, la Commission social</w:t>
      </w:r>
      <w:r>
        <w:rPr>
          <w:rFonts w:ascii="Arial" w:hAnsi="Arial" w:cs="Arial"/>
          <w:b/>
          <w:sz w:val="20"/>
          <w:szCs w:val="20"/>
          <w:lang w:val="fr-FR"/>
        </w:rPr>
        <w:t>e</w:t>
      </w:r>
      <w:r w:rsidRPr="00F84024">
        <w:rPr>
          <w:rFonts w:ascii="Arial" w:hAnsi="Arial" w:cs="Arial"/>
          <w:b/>
          <w:sz w:val="20"/>
          <w:szCs w:val="20"/>
          <w:lang w:val="fr-FR"/>
        </w:rPr>
        <w:t xml:space="preserve"> du Conseil national </w:t>
      </w:r>
      <w:r>
        <w:rPr>
          <w:rFonts w:ascii="Arial" w:hAnsi="Arial" w:cs="Arial"/>
          <w:b/>
          <w:sz w:val="20"/>
          <w:szCs w:val="20"/>
          <w:lang w:val="fr-FR"/>
        </w:rPr>
        <w:t>délibérera de l’initiative parlementaire</w:t>
      </w:r>
      <w:r w:rsidRPr="00E960B6">
        <w:rPr>
          <w:rFonts w:ascii="Arial" w:hAnsi="Arial" w:cs="Arial"/>
          <w:b/>
          <w:sz w:val="20"/>
          <w:szCs w:val="20"/>
          <w:lang w:val="fr-FR"/>
        </w:rPr>
        <w:t xml:space="preserve"> Candinas </w:t>
      </w:r>
      <w:r w:rsidRPr="002A0A56">
        <w:rPr>
          <w:rFonts w:ascii="Arial" w:hAnsi="Arial" w:cs="Arial"/>
          <w:b/>
          <w:sz w:val="20"/>
          <w:szCs w:val="20"/>
          <w:lang w:val="fr-FR"/>
        </w:rPr>
        <w:t xml:space="preserve">« Deux semaines </w:t>
      </w:r>
      <w:r w:rsidRPr="002A0A56">
        <w:rPr>
          <w:rFonts w:ascii="Arial" w:hAnsi="Arial" w:cs="Arial"/>
          <w:b/>
          <w:bCs/>
          <w:sz w:val="20"/>
          <w:szCs w:val="20"/>
          <w:lang w:val="fr-FR"/>
        </w:rPr>
        <w:t>de congé-paternité payé par le régime des APG »</w:t>
      </w:r>
      <w:r w:rsidRPr="002A0A56">
        <w:rPr>
          <w:rFonts w:ascii="Arial" w:hAnsi="Arial" w:cs="Arial"/>
          <w:b/>
          <w:sz w:val="20"/>
          <w:szCs w:val="20"/>
          <w:lang w:val="fr-FR"/>
        </w:rPr>
        <w:t>.</w:t>
      </w:r>
      <w:r w:rsidRPr="00E960B6">
        <w:rPr>
          <w:rFonts w:ascii="Arial" w:hAnsi="Arial" w:cs="Arial"/>
          <w:b/>
          <w:sz w:val="20"/>
          <w:szCs w:val="20"/>
          <w:lang w:val="fr-FR"/>
        </w:rPr>
        <w:t xml:space="preserve"> De l’avis de Travail.Suisse, il est grand temps de franchir </w:t>
      </w:r>
      <w:r>
        <w:rPr>
          <w:rFonts w:ascii="Arial" w:hAnsi="Arial" w:cs="Arial"/>
          <w:b/>
          <w:sz w:val="20"/>
          <w:szCs w:val="20"/>
          <w:lang w:val="fr-FR"/>
        </w:rPr>
        <w:t>l</w:t>
      </w:r>
      <w:r w:rsidRPr="00E960B6">
        <w:rPr>
          <w:rFonts w:ascii="Arial" w:hAnsi="Arial" w:cs="Arial"/>
          <w:b/>
          <w:sz w:val="20"/>
          <w:szCs w:val="20"/>
          <w:lang w:val="fr-FR"/>
        </w:rPr>
        <w:t xml:space="preserve">e pas et d’accorder aux nouveaux pères le </w:t>
      </w:r>
      <w:r>
        <w:rPr>
          <w:rFonts w:ascii="Arial" w:hAnsi="Arial" w:cs="Arial"/>
          <w:b/>
          <w:sz w:val="20"/>
          <w:szCs w:val="20"/>
          <w:lang w:val="fr-FR"/>
        </w:rPr>
        <w:t>congé</w:t>
      </w:r>
      <w:r w:rsidRPr="00E960B6">
        <w:rPr>
          <w:rFonts w:ascii="Arial" w:hAnsi="Arial" w:cs="Arial"/>
          <w:b/>
          <w:sz w:val="20"/>
          <w:szCs w:val="20"/>
          <w:lang w:val="fr-FR"/>
        </w:rPr>
        <w:t xml:space="preserve"> dont ils ont besoin pour </w:t>
      </w:r>
      <w:r>
        <w:rPr>
          <w:rFonts w:ascii="Arial" w:hAnsi="Arial" w:cs="Arial"/>
          <w:b/>
          <w:sz w:val="20"/>
          <w:szCs w:val="20"/>
          <w:lang w:val="fr-FR"/>
        </w:rPr>
        <w:t>assumer</w:t>
      </w:r>
      <w:r w:rsidRPr="00E960B6">
        <w:rPr>
          <w:rFonts w:ascii="Arial" w:hAnsi="Arial" w:cs="Arial"/>
          <w:b/>
          <w:sz w:val="20"/>
          <w:szCs w:val="20"/>
          <w:lang w:val="fr-FR"/>
        </w:rPr>
        <w:t xml:space="preserve"> dès le départ leurs responsabilités au sein de leur famille. Les tout derniers chiffres relatifs au budget d</w:t>
      </w:r>
      <w:r>
        <w:rPr>
          <w:rFonts w:ascii="Arial" w:hAnsi="Arial" w:cs="Arial"/>
          <w:b/>
          <w:sz w:val="20"/>
          <w:szCs w:val="20"/>
          <w:lang w:val="fr-FR"/>
        </w:rPr>
        <w:t xml:space="preserve">u régime des allocations pour perte de gain (APG) </w:t>
      </w:r>
      <w:r w:rsidRPr="00E960B6">
        <w:rPr>
          <w:rFonts w:ascii="Arial" w:hAnsi="Arial" w:cs="Arial"/>
          <w:b/>
          <w:sz w:val="20"/>
          <w:szCs w:val="20"/>
          <w:lang w:val="fr-FR"/>
        </w:rPr>
        <w:t xml:space="preserve">montrent </w:t>
      </w:r>
      <w:r>
        <w:rPr>
          <w:rFonts w:ascii="Arial" w:hAnsi="Arial" w:cs="Arial"/>
          <w:b/>
          <w:sz w:val="20"/>
          <w:szCs w:val="20"/>
          <w:lang w:val="fr-FR"/>
        </w:rPr>
        <w:t xml:space="preserve">qu’il est </w:t>
      </w:r>
      <w:r w:rsidRPr="00E960B6">
        <w:rPr>
          <w:rFonts w:ascii="Arial" w:hAnsi="Arial" w:cs="Arial"/>
          <w:b/>
          <w:sz w:val="20"/>
          <w:szCs w:val="20"/>
          <w:lang w:val="fr-FR"/>
        </w:rPr>
        <w:t>financièrement possi</w:t>
      </w:r>
      <w:r>
        <w:rPr>
          <w:rFonts w:ascii="Arial" w:hAnsi="Arial" w:cs="Arial"/>
          <w:b/>
          <w:sz w:val="20"/>
          <w:szCs w:val="20"/>
          <w:lang w:val="fr-FR"/>
        </w:rPr>
        <w:t>ble d’accorder un congé-</w:t>
      </w:r>
      <w:r w:rsidRPr="00E960B6">
        <w:rPr>
          <w:rFonts w:ascii="Arial" w:hAnsi="Arial" w:cs="Arial"/>
          <w:b/>
          <w:sz w:val="20"/>
          <w:szCs w:val="20"/>
          <w:lang w:val="fr-FR"/>
        </w:rPr>
        <w:t>paternité et</w:t>
      </w:r>
      <w:r>
        <w:rPr>
          <w:rFonts w:ascii="Arial" w:hAnsi="Arial" w:cs="Arial"/>
          <w:b/>
          <w:sz w:val="20"/>
          <w:szCs w:val="20"/>
          <w:lang w:val="fr-FR"/>
        </w:rPr>
        <w:t xml:space="preserve"> d’investir ainsi dans de solides relations familiales</w:t>
      </w:r>
      <w:r w:rsidRPr="00E960B6">
        <w:rPr>
          <w:rFonts w:ascii="Arial" w:hAnsi="Arial" w:cs="Arial"/>
          <w:b/>
          <w:sz w:val="20"/>
          <w:szCs w:val="20"/>
          <w:lang w:val="fr-FR"/>
        </w:rPr>
        <w:t>.</w:t>
      </w:r>
    </w:p>
    <w:p w:rsidR="00202CE4" w:rsidRPr="00E960B6" w:rsidRDefault="00202CE4" w:rsidP="001D7E3A">
      <w:pPr>
        <w:spacing w:after="0" w:line="300" w:lineRule="exact"/>
        <w:rPr>
          <w:rFonts w:ascii="Arial" w:hAnsi="Arial" w:cs="Arial"/>
          <w:sz w:val="20"/>
          <w:szCs w:val="20"/>
          <w:lang w:val="fr-FR"/>
        </w:rPr>
      </w:pPr>
    </w:p>
    <w:p w:rsidR="00202CE4" w:rsidRPr="00F84024" w:rsidRDefault="00202CE4" w:rsidP="001D7E3A">
      <w:pPr>
        <w:spacing w:after="0" w:line="300" w:lineRule="exact"/>
        <w:rPr>
          <w:rFonts w:ascii="Arial" w:hAnsi="Arial" w:cs="Arial"/>
          <w:i/>
          <w:sz w:val="20"/>
          <w:szCs w:val="20"/>
          <w:lang w:val="fr-FR"/>
        </w:rPr>
      </w:pPr>
      <w:smartTag w:uri="urn:schemas-microsoft-com:office:smarttags" w:element="PersonName">
        <w:smartTagPr>
          <w:attr w:name="ProductID" w:val="Matthias Kuert Killer"/>
        </w:smartTagPr>
        <w:r w:rsidRPr="00F84024">
          <w:rPr>
            <w:rFonts w:ascii="Arial" w:hAnsi="Arial" w:cs="Arial"/>
            <w:i/>
            <w:sz w:val="20"/>
            <w:szCs w:val="20"/>
            <w:lang w:val="fr-FR"/>
          </w:rPr>
          <w:t>Matthias Kuert Killer</w:t>
        </w:r>
      </w:smartTag>
      <w:r w:rsidRPr="00F84024">
        <w:rPr>
          <w:rFonts w:ascii="Arial" w:hAnsi="Arial" w:cs="Arial"/>
          <w:i/>
          <w:sz w:val="20"/>
          <w:szCs w:val="20"/>
          <w:lang w:val="fr-FR"/>
        </w:rPr>
        <w:t>, respo</w:t>
      </w:r>
      <w:r>
        <w:rPr>
          <w:rFonts w:ascii="Arial" w:hAnsi="Arial" w:cs="Arial"/>
          <w:i/>
          <w:sz w:val="20"/>
          <w:szCs w:val="20"/>
          <w:lang w:val="fr-FR"/>
        </w:rPr>
        <w:t xml:space="preserve">nsable de la politique sociale, </w:t>
      </w:r>
      <w:r w:rsidRPr="00F84024">
        <w:rPr>
          <w:rFonts w:ascii="Arial" w:hAnsi="Arial" w:cs="Arial"/>
          <w:i/>
          <w:sz w:val="20"/>
          <w:szCs w:val="20"/>
          <w:lang w:val="fr-FR"/>
        </w:rPr>
        <w:t>Travail.Suisse</w:t>
      </w:r>
    </w:p>
    <w:p w:rsidR="00202CE4" w:rsidRPr="00F84024" w:rsidRDefault="00202CE4" w:rsidP="001D7E3A">
      <w:pPr>
        <w:spacing w:after="0" w:line="300" w:lineRule="exact"/>
        <w:rPr>
          <w:rFonts w:ascii="Arial" w:hAnsi="Arial" w:cs="Arial"/>
          <w:sz w:val="20"/>
          <w:szCs w:val="20"/>
          <w:lang w:val="fr-FR"/>
        </w:rPr>
      </w:pPr>
    </w:p>
    <w:p w:rsidR="00202CE4" w:rsidRPr="00F675AF" w:rsidRDefault="00202CE4" w:rsidP="001D7E3A">
      <w:pPr>
        <w:spacing w:after="0" w:line="300" w:lineRule="exact"/>
        <w:rPr>
          <w:rFonts w:ascii="Arial" w:hAnsi="Arial" w:cs="Arial"/>
          <w:sz w:val="20"/>
          <w:szCs w:val="20"/>
          <w:lang w:val="fr-FR"/>
        </w:rPr>
      </w:pPr>
      <w:r w:rsidRPr="004918FD">
        <w:rPr>
          <w:rFonts w:ascii="Arial" w:hAnsi="Arial" w:cs="Arial"/>
          <w:sz w:val="20"/>
          <w:szCs w:val="20"/>
          <w:lang w:val="fr-FR"/>
        </w:rPr>
        <w:t>Actuellement, la paternité est traitée au même titre qu’un déménagement</w:t>
      </w:r>
      <w:r w:rsidRPr="00E14F67">
        <w:rPr>
          <w:rFonts w:ascii="Arial" w:hAnsi="Arial" w:cs="Arial"/>
          <w:sz w:val="20"/>
          <w:szCs w:val="20"/>
          <w:lang w:val="fr-FR"/>
        </w:rPr>
        <w:t xml:space="preserve"> </w:t>
      </w:r>
      <w:r w:rsidRPr="004918FD">
        <w:rPr>
          <w:rFonts w:ascii="Arial" w:hAnsi="Arial" w:cs="Arial"/>
          <w:sz w:val="20"/>
          <w:szCs w:val="20"/>
          <w:lang w:val="fr-FR"/>
        </w:rPr>
        <w:t>par la loi</w:t>
      </w:r>
      <w:r>
        <w:rPr>
          <w:rFonts w:ascii="Arial" w:hAnsi="Arial" w:cs="Arial"/>
          <w:sz w:val="20"/>
          <w:szCs w:val="20"/>
          <w:lang w:val="fr-FR"/>
        </w:rPr>
        <w:t xml:space="preserve">, qui </w:t>
      </w:r>
      <w:r w:rsidRPr="004918FD">
        <w:rPr>
          <w:rFonts w:ascii="Arial" w:hAnsi="Arial" w:cs="Arial"/>
          <w:sz w:val="20"/>
          <w:szCs w:val="20"/>
          <w:lang w:val="fr-FR"/>
        </w:rPr>
        <w:t>accord</w:t>
      </w:r>
      <w:r>
        <w:rPr>
          <w:rFonts w:ascii="Arial" w:hAnsi="Arial" w:cs="Arial"/>
          <w:sz w:val="20"/>
          <w:szCs w:val="20"/>
          <w:lang w:val="fr-FR"/>
        </w:rPr>
        <w:t>e</w:t>
      </w:r>
      <w:r w:rsidRPr="00E83995">
        <w:rPr>
          <w:rFonts w:ascii="Arial" w:hAnsi="Arial" w:cs="Arial"/>
          <w:sz w:val="20"/>
          <w:szCs w:val="20"/>
          <w:lang w:val="fr-FR"/>
        </w:rPr>
        <w:t xml:space="preserve"> </w:t>
      </w:r>
      <w:r w:rsidRPr="004918FD">
        <w:rPr>
          <w:rFonts w:ascii="Arial" w:hAnsi="Arial" w:cs="Arial"/>
          <w:sz w:val="20"/>
          <w:szCs w:val="20"/>
          <w:lang w:val="fr-FR"/>
        </w:rPr>
        <w:t>au jeune papa</w:t>
      </w:r>
      <w:r>
        <w:rPr>
          <w:rFonts w:ascii="Arial" w:hAnsi="Arial" w:cs="Arial"/>
          <w:sz w:val="20"/>
          <w:szCs w:val="20"/>
          <w:lang w:val="fr-FR"/>
        </w:rPr>
        <w:t xml:space="preserve"> un</w:t>
      </w:r>
      <w:r w:rsidRPr="004918FD">
        <w:rPr>
          <w:rFonts w:ascii="Arial" w:hAnsi="Arial" w:cs="Arial"/>
          <w:sz w:val="20"/>
          <w:szCs w:val="20"/>
          <w:lang w:val="fr-FR"/>
        </w:rPr>
        <w:t xml:space="preserve"> ou deux jours dans le cadre des </w:t>
      </w:r>
      <w:r>
        <w:rPr>
          <w:rFonts w:ascii="Arial" w:hAnsi="Arial" w:cs="Arial"/>
          <w:sz w:val="20"/>
          <w:szCs w:val="20"/>
          <w:lang w:val="fr-FR"/>
        </w:rPr>
        <w:t>« </w:t>
      </w:r>
      <w:r w:rsidRPr="004918FD">
        <w:rPr>
          <w:rFonts w:ascii="Arial" w:hAnsi="Arial" w:cs="Arial"/>
          <w:sz w:val="20"/>
          <w:szCs w:val="20"/>
          <w:lang w:val="fr-FR"/>
        </w:rPr>
        <w:t xml:space="preserve">jours de congé </w:t>
      </w:r>
      <w:r>
        <w:rPr>
          <w:rFonts w:ascii="Arial" w:hAnsi="Arial" w:cs="Arial"/>
          <w:sz w:val="20"/>
          <w:szCs w:val="20"/>
          <w:lang w:val="fr-FR"/>
        </w:rPr>
        <w:t>usuels »</w:t>
      </w:r>
      <w:r w:rsidRPr="004918FD">
        <w:rPr>
          <w:rFonts w:ascii="Arial" w:hAnsi="Arial" w:cs="Arial"/>
          <w:sz w:val="20"/>
          <w:szCs w:val="20"/>
          <w:lang w:val="fr-FR"/>
        </w:rPr>
        <w:t xml:space="preserve">. </w:t>
      </w:r>
      <w:r>
        <w:rPr>
          <w:rFonts w:ascii="Arial" w:hAnsi="Arial" w:cs="Arial"/>
          <w:sz w:val="20"/>
          <w:szCs w:val="20"/>
          <w:lang w:val="fr-FR"/>
        </w:rPr>
        <w:t>Cette brève absence n’est vraiment plus d’actualité, car les jeunes pères d’aujourd’hui veulent assumer leur responsabilité et s’investir dès le départ dans la vie familiale</w:t>
      </w:r>
      <w:r w:rsidRPr="00F675AF">
        <w:rPr>
          <w:rFonts w:ascii="Arial" w:hAnsi="Arial" w:cs="Arial"/>
          <w:sz w:val="20"/>
          <w:szCs w:val="20"/>
          <w:lang w:val="fr-FR"/>
        </w:rPr>
        <w:t>.</w:t>
      </w:r>
      <w:r w:rsidRPr="00E83995">
        <w:rPr>
          <w:rFonts w:ascii="Arial" w:hAnsi="Arial" w:cs="Arial"/>
          <w:sz w:val="20"/>
          <w:szCs w:val="20"/>
          <w:lang w:val="fr-FR"/>
        </w:rPr>
        <w:t xml:space="preserve"> </w:t>
      </w:r>
      <w:r w:rsidRPr="00E14F67">
        <w:rPr>
          <w:rFonts w:ascii="Arial" w:hAnsi="Arial" w:cs="Arial"/>
          <w:sz w:val="20"/>
          <w:szCs w:val="20"/>
          <w:lang w:val="fr-FR"/>
        </w:rPr>
        <w:t>C’est aussi ce que l’on attend d</w:t>
      </w:r>
      <w:r>
        <w:rPr>
          <w:rFonts w:ascii="Arial" w:hAnsi="Arial" w:cs="Arial"/>
          <w:sz w:val="20"/>
          <w:szCs w:val="20"/>
          <w:lang w:val="fr-FR"/>
        </w:rPr>
        <w:t>e leur part</w:t>
      </w:r>
      <w:r w:rsidRPr="00E14F67">
        <w:rPr>
          <w:rFonts w:ascii="Arial" w:hAnsi="Arial" w:cs="Arial"/>
          <w:sz w:val="20"/>
          <w:szCs w:val="20"/>
          <w:lang w:val="fr-FR"/>
        </w:rPr>
        <w:t xml:space="preserve">, car </w:t>
      </w:r>
      <w:r>
        <w:rPr>
          <w:rFonts w:ascii="Arial" w:hAnsi="Arial" w:cs="Arial"/>
          <w:sz w:val="20"/>
          <w:szCs w:val="20"/>
          <w:lang w:val="fr-FR"/>
        </w:rPr>
        <w:t xml:space="preserve">le plus souvent, </w:t>
      </w:r>
      <w:r w:rsidRPr="00E14F67">
        <w:rPr>
          <w:rFonts w:ascii="Arial" w:hAnsi="Arial" w:cs="Arial"/>
          <w:sz w:val="20"/>
          <w:szCs w:val="20"/>
          <w:lang w:val="fr-FR"/>
        </w:rPr>
        <w:t xml:space="preserve">c’est à deux que l’on a </w:t>
      </w:r>
      <w:r>
        <w:rPr>
          <w:rFonts w:ascii="Arial" w:hAnsi="Arial" w:cs="Arial"/>
          <w:sz w:val="20"/>
          <w:szCs w:val="20"/>
          <w:lang w:val="fr-FR"/>
        </w:rPr>
        <w:t>décidé</w:t>
      </w:r>
      <w:r w:rsidRPr="00E14F67">
        <w:rPr>
          <w:rFonts w:ascii="Arial" w:hAnsi="Arial" w:cs="Arial"/>
          <w:sz w:val="20"/>
          <w:szCs w:val="20"/>
          <w:lang w:val="fr-FR"/>
        </w:rPr>
        <w:t xml:space="preserve"> de fonder une famille. </w:t>
      </w:r>
      <w:r>
        <w:rPr>
          <w:rFonts w:ascii="Arial" w:hAnsi="Arial" w:cs="Arial"/>
          <w:sz w:val="20"/>
          <w:szCs w:val="20"/>
          <w:lang w:val="fr-FR"/>
        </w:rPr>
        <w:t>Astreignante, la période postnatale</w:t>
      </w:r>
      <w:r w:rsidRPr="00F675AF">
        <w:rPr>
          <w:rFonts w:ascii="Arial" w:hAnsi="Arial" w:cs="Arial"/>
          <w:sz w:val="20"/>
          <w:szCs w:val="20"/>
          <w:lang w:val="fr-FR"/>
        </w:rPr>
        <w:t xml:space="preserve"> </w:t>
      </w:r>
      <w:r>
        <w:rPr>
          <w:rFonts w:ascii="Arial" w:hAnsi="Arial" w:cs="Arial"/>
          <w:sz w:val="20"/>
          <w:szCs w:val="20"/>
          <w:lang w:val="fr-FR"/>
        </w:rPr>
        <w:t>e</w:t>
      </w:r>
      <w:r w:rsidRPr="00F675AF">
        <w:rPr>
          <w:rFonts w:ascii="Arial" w:hAnsi="Arial" w:cs="Arial"/>
          <w:sz w:val="20"/>
          <w:szCs w:val="20"/>
          <w:lang w:val="fr-FR"/>
        </w:rPr>
        <w:t xml:space="preserve">st </w:t>
      </w:r>
      <w:r w:rsidRPr="004D3A74">
        <w:rPr>
          <w:rFonts w:ascii="Arial" w:hAnsi="Arial" w:cs="Arial"/>
          <w:sz w:val="20"/>
          <w:szCs w:val="20"/>
          <w:lang w:val="fr-FR"/>
        </w:rPr>
        <w:t xml:space="preserve">également décisive pour créer des liens avec le nouveau-né. De plus, il s’agit </w:t>
      </w:r>
      <w:r>
        <w:rPr>
          <w:rFonts w:ascii="Arial" w:hAnsi="Arial" w:cs="Arial"/>
          <w:sz w:val="20"/>
          <w:szCs w:val="20"/>
          <w:lang w:val="fr-FR"/>
        </w:rPr>
        <w:t xml:space="preserve">généralement </w:t>
      </w:r>
      <w:r w:rsidRPr="004D3A74">
        <w:rPr>
          <w:rFonts w:ascii="Arial" w:hAnsi="Arial" w:cs="Arial"/>
          <w:sz w:val="20"/>
          <w:szCs w:val="20"/>
          <w:lang w:val="fr-FR"/>
        </w:rPr>
        <w:t xml:space="preserve">aussi d’encadrer ses grands frères et sœurs. </w:t>
      </w:r>
      <w:r>
        <w:rPr>
          <w:rFonts w:ascii="Arial" w:hAnsi="Arial" w:cs="Arial"/>
          <w:sz w:val="20"/>
          <w:szCs w:val="20"/>
          <w:lang w:val="fr-FR"/>
        </w:rPr>
        <w:t xml:space="preserve">Aussi </w:t>
      </w:r>
      <w:r w:rsidRPr="00F675AF">
        <w:rPr>
          <w:rFonts w:ascii="Arial" w:hAnsi="Arial" w:cs="Arial"/>
          <w:sz w:val="20"/>
          <w:szCs w:val="20"/>
          <w:lang w:val="fr-FR"/>
        </w:rPr>
        <w:t>Travail.Suisse se mobilise</w:t>
      </w:r>
      <w:r>
        <w:rPr>
          <w:rFonts w:ascii="Arial" w:hAnsi="Arial" w:cs="Arial"/>
          <w:sz w:val="20"/>
          <w:szCs w:val="20"/>
          <w:lang w:val="fr-FR"/>
        </w:rPr>
        <w:t xml:space="preserve">-t-elle depuis longtemps </w:t>
      </w:r>
      <w:r w:rsidRPr="00F675AF">
        <w:rPr>
          <w:rFonts w:ascii="Arial" w:hAnsi="Arial" w:cs="Arial"/>
          <w:sz w:val="20"/>
          <w:szCs w:val="20"/>
          <w:lang w:val="fr-FR"/>
        </w:rPr>
        <w:t>en faveur d’un</w:t>
      </w:r>
      <w:r>
        <w:rPr>
          <w:rFonts w:ascii="Arial" w:hAnsi="Arial" w:cs="Arial"/>
          <w:sz w:val="20"/>
          <w:szCs w:val="20"/>
          <w:lang w:val="fr-FR"/>
        </w:rPr>
        <w:t xml:space="preserve"> congé-paternité</w:t>
      </w:r>
      <w:r w:rsidRPr="00F675AF">
        <w:rPr>
          <w:rFonts w:ascii="Arial" w:hAnsi="Arial" w:cs="Arial"/>
          <w:sz w:val="20"/>
          <w:szCs w:val="20"/>
          <w:lang w:val="fr-FR"/>
        </w:rPr>
        <w:t>. L’organisation faîtière indépendante des travailleurs demande un congé-paternité de 20 jours ouvrables</w:t>
      </w:r>
      <w:r>
        <w:rPr>
          <w:rFonts w:ascii="Arial" w:hAnsi="Arial" w:cs="Arial"/>
          <w:sz w:val="20"/>
          <w:szCs w:val="20"/>
          <w:lang w:val="fr-FR"/>
        </w:rPr>
        <w:t>,</w:t>
      </w:r>
      <w:r w:rsidRPr="00F675AF">
        <w:rPr>
          <w:rFonts w:ascii="Arial" w:hAnsi="Arial" w:cs="Arial"/>
          <w:sz w:val="20"/>
          <w:szCs w:val="20"/>
          <w:lang w:val="fr-FR"/>
        </w:rPr>
        <w:t xml:space="preserve"> financé par le</w:t>
      </w:r>
      <w:r>
        <w:rPr>
          <w:rFonts w:ascii="Arial" w:hAnsi="Arial" w:cs="Arial"/>
          <w:sz w:val="20"/>
          <w:szCs w:val="20"/>
          <w:lang w:val="fr-FR"/>
        </w:rPr>
        <w:t xml:space="preserve"> régime de</w:t>
      </w:r>
      <w:r w:rsidRPr="00F675AF">
        <w:rPr>
          <w:rFonts w:ascii="Arial" w:hAnsi="Arial" w:cs="Arial"/>
          <w:sz w:val="20"/>
          <w:szCs w:val="20"/>
          <w:lang w:val="fr-FR"/>
        </w:rPr>
        <w:t xml:space="preserve">s allocations pour perte de gain </w:t>
      </w:r>
      <w:r>
        <w:rPr>
          <w:rFonts w:ascii="Arial" w:hAnsi="Arial" w:cs="Arial"/>
          <w:sz w:val="20"/>
          <w:szCs w:val="20"/>
          <w:lang w:val="fr-FR"/>
        </w:rPr>
        <w:t>(</w:t>
      </w:r>
      <w:r w:rsidRPr="00F675AF">
        <w:rPr>
          <w:rFonts w:ascii="Arial" w:hAnsi="Arial" w:cs="Arial"/>
          <w:sz w:val="20"/>
          <w:szCs w:val="20"/>
          <w:lang w:val="fr-FR"/>
        </w:rPr>
        <w:t>APG</w:t>
      </w:r>
      <w:r>
        <w:rPr>
          <w:rFonts w:ascii="Arial" w:hAnsi="Arial" w:cs="Arial"/>
          <w:sz w:val="20"/>
          <w:szCs w:val="20"/>
          <w:lang w:val="fr-FR"/>
        </w:rPr>
        <w:t>)</w:t>
      </w:r>
      <w:r w:rsidRPr="00F675AF">
        <w:rPr>
          <w:rFonts w:ascii="Arial" w:hAnsi="Arial" w:cs="Arial"/>
          <w:sz w:val="20"/>
          <w:szCs w:val="20"/>
          <w:lang w:val="fr-FR"/>
        </w:rPr>
        <w:t xml:space="preserve">. </w:t>
      </w:r>
    </w:p>
    <w:p w:rsidR="00202CE4" w:rsidRPr="00F675AF" w:rsidRDefault="00202CE4" w:rsidP="001D7E3A">
      <w:pPr>
        <w:spacing w:after="0" w:line="300" w:lineRule="exact"/>
        <w:rPr>
          <w:rFonts w:ascii="Arial" w:hAnsi="Arial" w:cs="Arial"/>
          <w:sz w:val="20"/>
          <w:szCs w:val="20"/>
          <w:lang w:val="fr-FR"/>
        </w:rPr>
      </w:pPr>
    </w:p>
    <w:p w:rsidR="00202CE4" w:rsidRPr="00F675AF" w:rsidRDefault="00202CE4" w:rsidP="001D7E3A">
      <w:pPr>
        <w:spacing w:after="0" w:line="300" w:lineRule="exact"/>
        <w:rPr>
          <w:rFonts w:ascii="Arial" w:hAnsi="Arial" w:cs="Arial"/>
          <w:sz w:val="20"/>
          <w:szCs w:val="20"/>
          <w:lang w:val="fr-FR"/>
        </w:rPr>
      </w:pPr>
    </w:p>
    <w:p w:rsidR="00202CE4" w:rsidRPr="00E56ED8" w:rsidRDefault="00202CE4" w:rsidP="001D7E3A">
      <w:pPr>
        <w:spacing w:after="0" w:line="300" w:lineRule="exact"/>
        <w:rPr>
          <w:rFonts w:ascii="Arial" w:hAnsi="Arial" w:cs="Arial"/>
          <w:b/>
          <w:sz w:val="20"/>
          <w:szCs w:val="20"/>
          <w:lang w:val="fr-FR"/>
        </w:rPr>
      </w:pPr>
      <w:r w:rsidRPr="00E56ED8">
        <w:rPr>
          <w:rFonts w:ascii="Arial" w:hAnsi="Arial" w:cs="Arial"/>
          <w:b/>
          <w:sz w:val="20"/>
          <w:szCs w:val="20"/>
          <w:lang w:val="fr-FR"/>
        </w:rPr>
        <w:t>Une nou</w:t>
      </w:r>
      <w:r>
        <w:rPr>
          <w:rFonts w:ascii="Arial" w:hAnsi="Arial" w:cs="Arial"/>
          <w:b/>
          <w:sz w:val="20"/>
          <w:szCs w:val="20"/>
          <w:lang w:val="fr-FR"/>
        </w:rPr>
        <w:t>velle chance pour le Parlement</w:t>
      </w:r>
    </w:p>
    <w:p w:rsidR="00202CE4" w:rsidRPr="00E56ED8" w:rsidRDefault="00202CE4" w:rsidP="001D7E3A">
      <w:pPr>
        <w:spacing w:after="0" w:line="300" w:lineRule="exact"/>
        <w:rPr>
          <w:rFonts w:ascii="Arial" w:hAnsi="Arial" w:cs="Arial"/>
          <w:sz w:val="20"/>
          <w:szCs w:val="20"/>
          <w:lang w:val="fr-FR"/>
        </w:rPr>
      </w:pPr>
    </w:p>
    <w:p w:rsidR="00202CE4" w:rsidRPr="00B04707" w:rsidRDefault="00202CE4" w:rsidP="001D7E3A">
      <w:pPr>
        <w:spacing w:after="0" w:line="300" w:lineRule="exact"/>
        <w:rPr>
          <w:rFonts w:ascii="Arial" w:hAnsi="Arial" w:cs="Arial"/>
          <w:sz w:val="20"/>
          <w:szCs w:val="20"/>
          <w:lang w:val="fr-FR"/>
        </w:rPr>
      </w:pPr>
      <w:r>
        <w:rPr>
          <w:rFonts w:ascii="Arial" w:hAnsi="Arial" w:cs="Arial"/>
          <w:sz w:val="20"/>
          <w:szCs w:val="20"/>
          <w:lang w:val="fr-FR"/>
        </w:rPr>
        <w:t>Jusqu’ici, l</w:t>
      </w:r>
      <w:r w:rsidRPr="00256141">
        <w:rPr>
          <w:rFonts w:ascii="Arial" w:hAnsi="Arial" w:cs="Arial"/>
          <w:sz w:val="20"/>
          <w:szCs w:val="20"/>
          <w:lang w:val="fr-FR"/>
        </w:rPr>
        <w:t>e Parlement a refusé de s’aligner su</w:t>
      </w:r>
      <w:r>
        <w:rPr>
          <w:rFonts w:ascii="Arial" w:hAnsi="Arial" w:cs="Arial"/>
          <w:sz w:val="20"/>
          <w:szCs w:val="20"/>
          <w:lang w:val="fr-FR"/>
        </w:rPr>
        <w:t>r les exigences de notre époque</w:t>
      </w:r>
      <w:r w:rsidRPr="00256141">
        <w:rPr>
          <w:rFonts w:ascii="Arial" w:hAnsi="Arial" w:cs="Arial"/>
          <w:sz w:val="20"/>
          <w:szCs w:val="20"/>
          <w:lang w:val="fr-FR"/>
        </w:rPr>
        <w:t xml:space="preserve">. </w:t>
      </w:r>
      <w:r w:rsidRPr="00B04707">
        <w:rPr>
          <w:rFonts w:ascii="Arial" w:hAnsi="Arial" w:cs="Arial"/>
          <w:sz w:val="20"/>
          <w:szCs w:val="20"/>
          <w:lang w:val="fr-FR"/>
        </w:rPr>
        <w:t xml:space="preserve">Toutefois, la tendance </w:t>
      </w:r>
      <w:r w:rsidRPr="002A0A56">
        <w:rPr>
          <w:rFonts w:ascii="Arial" w:hAnsi="Arial" w:cs="Arial"/>
          <w:sz w:val="20"/>
          <w:szCs w:val="20"/>
          <w:lang w:val="fr-FR"/>
        </w:rPr>
        <w:t>va vers</w:t>
      </w:r>
      <w:r>
        <w:rPr>
          <w:rFonts w:ascii="Arial" w:hAnsi="Arial" w:cs="Arial"/>
          <w:sz w:val="20"/>
          <w:szCs w:val="20"/>
          <w:lang w:val="fr-FR"/>
        </w:rPr>
        <w:t xml:space="preserve"> </w:t>
      </w:r>
      <w:r w:rsidRPr="00B04707">
        <w:rPr>
          <w:rFonts w:ascii="Arial" w:hAnsi="Arial" w:cs="Arial"/>
          <w:sz w:val="20"/>
          <w:szCs w:val="20"/>
          <w:lang w:val="fr-FR"/>
        </w:rPr>
        <w:t>davantage d’adhésion et les jeunes générations font un peu bouger les c</w:t>
      </w:r>
      <w:r>
        <w:rPr>
          <w:rFonts w:ascii="Arial" w:hAnsi="Arial" w:cs="Arial"/>
          <w:sz w:val="20"/>
          <w:szCs w:val="20"/>
          <w:lang w:val="fr-FR"/>
        </w:rPr>
        <w:t>hoses au sein du Parlement</w:t>
      </w:r>
      <w:r w:rsidRPr="00B04707">
        <w:rPr>
          <w:rFonts w:ascii="Arial" w:hAnsi="Arial" w:cs="Arial"/>
          <w:sz w:val="20"/>
          <w:szCs w:val="20"/>
          <w:lang w:val="fr-FR"/>
        </w:rPr>
        <w:t xml:space="preserve">. Dans le monde du travail aussi, plusieurs entreprises </w:t>
      </w:r>
      <w:r>
        <w:rPr>
          <w:rFonts w:ascii="Arial" w:hAnsi="Arial" w:cs="Arial"/>
          <w:sz w:val="20"/>
          <w:szCs w:val="20"/>
          <w:lang w:val="fr-FR"/>
        </w:rPr>
        <w:t xml:space="preserve">- faute de pouvoir </w:t>
      </w:r>
      <w:r w:rsidRPr="00B04707">
        <w:rPr>
          <w:rFonts w:ascii="Arial" w:hAnsi="Arial" w:cs="Arial"/>
          <w:sz w:val="20"/>
          <w:szCs w:val="20"/>
          <w:lang w:val="fr-FR"/>
        </w:rPr>
        <w:t xml:space="preserve">se dérober </w:t>
      </w:r>
      <w:r>
        <w:rPr>
          <w:rFonts w:ascii="Arial" w:hAnsi="Arial" w:cs="Arial"/>
          <w:sz w:val="20"/>
          <w:szCs w:val="20"/>
          <w:lang w:val="fr-FR"/>
        </w:rPr>
        <w:t xml:space="preserve">à cette exigence - </w:t>
      </w:r>
      <w:r w:rsidRPr="00B04707">
        <w:rPr>
          <w:rFonts w:ascii="Arial" w:hAnsi="Arial" w:cs="Arial"/>
          <w:sz w:val="20"/>
          <w:szCs w:val="20"/>
          <w:lang w:val="fr-FR"/>
        </w:rPr>
        <w:t xml:space="preserve">ont introduit </w:t>
      </w:r>
      <w:r>
        <w:rPr>
          <w:rFonts w:ascii="Arial" w:hAnsi="Arial" w:cs="Arial"/>
          <w:sz w:val="20"/>
          <w:szCs w:val="20"/>
          <w:lang w:val="fr-FR"/>
        </w:rPr>
        <w:t xml:space="preserve">de leur propre initiative </w:t>
      </w:r>
      <w:r w:rsidRPr="00B04707">
        <w:rPr>
          <w:rFonts w:ascii="Arial" w:hAnsi="Arial" w:cs="Arial"/>
          <w:sz w:val="20"/>
          <w:szCs w:val="20"/>
          <w:lang w:val="fr-FR"/>
        </w:rPr>
        <w:t>un congé-paternité.</w:t>
      </w:r>
      <w:r w:rsidRPr="001D7E3A">
        <w:rPr>
          <w:rStyle w:val="Funotenzeichen"/>
          <w:rFonts w:ascii="Arial" w:hAnsi="Arial" w:cs="Arial"/>
          <w:sz w:val="20"/>
          <w:szCs w:val="20"/>
        </w:rPr>
        <w:footnoteReference w:id="1"/>
      </w:r>
      <w:r w:rsidRPr="00B04707">
        <w:rPr>
          <w:rFonts w:ascii="Arial" w:hAnsi="Arial" w:cs="Arial"/>
          <w:sz w:val="20"/>
          <w:szCs w:val="20"/>
          <w:lang w:val="fr-FR"/>
        </w:rPr>
        <w:t xml:space="preserve"> </w:t>
      </w:r>
      <w:r w:rsidRPr="00B10218">
        <w:rPr>
          <w:rFonts w:ascii="Arial" w:hAnsi="Arial" w:cs="Arial"/>
          <w:sz w:val="20"/>
          <w:szCs w:val="20"/>
          <w:lang w:val="fr-FR"/>
        </w:rPr>
        <w:t>Toutefois, ce sont presque e</w:t>
      </w:r>
      <w:r>
        <w:rPr>
          <w:rFonts w:ascii="Arial" w:hAnsi="Arial" w:cs="Arial"/>
          <w:sz w:val="20"/>
          <w:szCs w:val="20"/>
          <w:lang w:val="fr-FR"/>
        </w:rPr>
        <w:t>x</w:t>
      </w:r>
      <w:r w:rsidRPr="00B10218">
        <w:rPr>
          <w:rFonts w:ascii="Arial" w:hAnsi="Arial" w:cs="Arial"/>
          <w:sz w:val="20"/>
          <w:szCs w:val="20"/>
          <w:lang w:val="fr-FR"/>
        </w:rPr>
        <w:t xml:space="preserve">clusivement de grandes </w:t>
      </w:r>
      <w:r>
        <w:rPr>
          <w:rFonts w:ascii="Arial" w:hAnsi="Arial" w:cs="Arial"/>
          <w:sz w:val="20"/>
          <w:szCs w:val="20"/>
          <w:lang w:val="fr-FR"/>
        </w:rPr>
        <w:t xml:space="preserve">sociétés </w:t>
      </w:r>
      <w:r w:rsidRPr="00B10218">
        <w:rPr>
          <w:rFonts w:ascii="Arial" w:hAnsi="Arial" w:cs="Arial"/>
          <w:sz w:val="20"/>
          <w:szCs w:val="20"/>
          <w:lang w:val="fr-FR"/>
        </w:rPr>
        <w:t xml:space="preserve">qui offrent un congé-paternité. </w:t>
      </w:r>
      <w:r>
        <w:rPr>
          <w:rFonts w:ascii="Arial" w:hAnsi="Arial" w:cs="Arial"/>
          <w:sz w:val="20"/>
          <w:szCs w:val="20"/>
          <w:lang w:val="fr-FR"/>
        </w:rPr>
        <w:t>M</w:t>
      </w:r>
      <w:r w:rsidRPr="0022072D">
        <w:rPr>
          <w:rFonts w:ascii="Arial" w:hAnsi="Arial" w:cs="Arial"/>
          <w:sz w:val="20"/>
          <w:szCs w:val="20"/>
          <w:lang w:val="fr-FR"/>
        </w:rPr>
        <w:t xml:space="preserve">ercredi prochain, la Commission sociale du Conseil national aura l’occasion de faire un premier pas, si modeste soit-il. </w:t>
      </w:r>
      <w:r w:rsidRPr="00CE1AAF">
        <w:rPr>
          <w:rFonts w:ascii="Arial" w:hAnsi="Arial" w:cs="Arial"/>
          <w:sz w:val="20"/>
          <w:szCs w:val="20"/>
          <w:lang w:val="fr-FR"/>
        </w:rPr>
        <w:t xml:space="preserve">Dans son initiative parlementaire, Martin Candinas, conseiller national grison et lui-même père de famille, propose un congé-paternité de deux semaines pour tous, </w:t>
      </w:r>
      <w:r>
        <w:rPr>
          <w:rFonts w:ascii="Arial" w:hAnsi="Arial" w:cs="Arial"/>
          <w:sz w:val="20"/>
          <w:szCs w:val="20"/>
          <w:lang w:val="fr-FR"/>
        </w:rPr>
        <w:t>financé par les allocations pour perte de gain (APG)</w:t>
      </w:r>
      <w:r w:rsidRPr="00CE1AAF">
        <w:rPr>
          <w:rFonts w:ascii="Arial" w:hAnsi="Arial" w:cs="Arial"/>
          <w:sz w:val="20"/>
          <w:szCs w:val="20"/>
          <w:lang w:val="fr-FR"/>
        </w:rPr>
        <w:t xml:space="preserve">. </w:t>
      </w:r>
      <w:r>
        <w:rPr>
          <w:rFonts w:ascii="Arial" w:hAnsi="Arial" w:cs="Arial"/>
          <w:sz w:val="20"/>
          <w:szCs w:val="20"/>
          <w:lang w:val="fr-FR"/>
        </w:rPr>
        <w:t>On est encore loin - tant s’en faut - de tout ce que requiert une politique familiale résolue</w:t>
      </w:r>
      <w:r w:rsidRPr="0022072D">
        <w:rPr>
          <w:rFonts w:ascii="Arial" w:hAnsi="Arial" w:cs="Arial"/>
          <w:sz w:val="20"/>
          <w:szCs w:val="20"/>
          <w:lang w:val="fr-FR"/>
        </w:rPr>
        <w:t xml:space="preserve">, mais c’est un pas </w:t>
      </w:r>
      <w:r w:rsidRPr="0022072D">
        <w:rPr>
          <w:rFonts w:ascii="Arial" w:hAnsi="Arial" w:cs="Arial"/>
          <w:sz w:val="20"/>
          <w:szCs w:val="20"/>
          <w:lang w:val="fr-FR"/>
        </w:rPr>
        <w:lastRenderedPageBreak/>
        <w:t xml:space="preserve">dans la bonne direction. </w:t>
      </w:r>
      <w:r w:rsidRPr="00126B9B">
        <w:rPr>
          <w:rFonts w:ascii="Arial" w:hAnsi="Arial" w:cs="Arial"/>
          <w:sz w:val="20"/>
          <w:szCs w:val="20"/>
          <w:lang w:val="fr-FR"/>
        </w:rPr>
        <w:t>Et - contrairement aux discussions sur le congé parental</w:t>
      </w:r>
      <w:r>
        <w:rPr>
          <w:rFonts w:ascii="Arial" w:hAnsi="Arial" w:cs="Arial"/>
          <w:sz w:val="20"/>
          <w:szCs w:val="20"/>
          <w:lang w:val="fr-FR"/>
        </w:rPr>
        <w:t>, qui piétinent</w:t>
      </w:r>
      <w:r w:rsidRPr="00126B9B">
        <w:rPr>
          <w:rFonts w:ascii="Arial" w:hAnsi="Arial" w:cs="Arial"/>
          <w:sz w:val="20"/>
          <w:szCs w:val="20"/>
          <w:lang w:val="fr-FR"/>
        </w:rPr>
        <w:t xml:space="preserve"> - il s’agit surtout d’un premier pas concret. </w:t>
      </w:r>
      <w:r w:rsidRPr="00AC3CB3">
        <w:rPr>
          <w:rFonts w:ascii="Arial" w:hAnsi="Arial" w:cs="Arial"/>
          <w:sz w:val="20"/>
          <w:szCs w:val="20"/>
          <w:lang w:val="fr-FR"/>
        </w:rPr>
        <w:t xml:space="preserve">C’est pourquoi Travail.Suisse soutient cette initiative parlementaire. </w:t>
      </w:r>
    </w:p>
    <w:p w:rsidR="00202CE4" w:rsidRPr="00AC3CB3" w:rsidRDefault="00202CE4" w:rsidP="001D7E3A">
      <w:pPr>
        <w:spacing w:after="0" w:line="300" w:lineRule="exact"/>
        <w:rPr>
          <w:rFonts w:ascii="Arial" w:hAnsi="Arial" w:cs="Arial"/>
          <w:sz w:val="20"/>
          <w:szCs w:val="20"/>
          <w:lang w:val="fr-FR"/>
        </w:rPr>
      </w:pPr>
    </w:p>
    <w:p w:rsidR="00202CE4" w:rsidRPr="00845087" w:rsidRDefault="00202CE4" w:rsidP="001D7E3A">
      <w:pPr>
        <w:spacing w:after="0" w:line="300" w:lineRule="exact"/>
        <w:rPr>
          <w:rFonts w:ascii="Arial" w:hAnsi="Arial" w:cs="Arial"/>
          <w:b/>
          <w:sz w:val="20"/>
          <w:szCs w:val="20"/>
          <w:lang w:val="fr-FR"/>
        </w:rPr>
      </w:pPr>
      <w:r w:rsidRPr="00845087">
        <w:rPr>
          <w:rFonts w:ascii="Arial" w:hAnsi="Arial" w:cs="Arial"/>
          <w:b/>
          <w:sz w:val="20"/>
          <w:szCs w:val="20"/>
          <w:lang w:val="fr-FR"/>
        </w:rPr>
        <w:t xml:space="preserve">Le coût est </w:t>
      </w:r>
      <w:r>
        <w:rPr>
          <w:rFonts w:ascii="Arial" w:hAnsi="Arial" w:cs="Arial"/>
          <w:b/>
          <w:sz w:val="20"/>
          <w:szCs w:val="20"/>
          <w:lang w:val="fr-FR"/>
        </w:rPr>
        <w:t>tout à fait concevable</w:t>
      </w:r>
    </w:p>
    <w:p w:rsidR="00202CE4" w:rsidRPr="00845087" w:rsidRDefault="00202CE4" w:rsidP="001D7E3A">
      <w:pPr>
        <w:spacing w:after="0" w:line="300" w:lineRule="exact"/>
        <w:rPr>
          <w:rFonts w:ascii="Arial" w:hAnsi="Arial" w:cs="Arial"/>
          <w:sz w:val="20"/>
          <w:szCs w:val="20"/>
          <w:lang w:val="fr-FR"/>
        </w:rPr>
      </w:pPr>
    </w:p>
    <w:p w:rsidR="00202CE4" w:rsidRPr="004663CA" w:rsidRDefault="00202CE4" w:rsidP="001D7E3A">
      <w:pPr>
        <w:spacing w:after="0" w:line="300" w:lineRule="exact"/>
        <w:rPr>
          <w:rFonts w:ascii="Arial" w:hAnsi="Arial" w:cs="Arial"/>
          <w:sz w:val="20"/>
          <w:szCs w:val="20"/>
          <w:lang w:val="fr-FR"/>
        </w:rPr>
      </w:pPr>
      <w:r w:rsidRPr="00AC3CB3">
        <w:rPr>
          <w:rFonts w:ascii="Arial" w:hAnsi="Arial" w:cs="Arial"/>
          <w:sz w:val="20"/>
          <w:szCs w:val="20"/>
          <w:lang w:val="fr-FR"/>
        </w:rPr>
        <w:t xml:space="preserve">Il va de soi que </w:t>
      </w:r>
      <w:r>
        <w:rPr>
          <w:rFonts w:ascii="Arial" w:hAnsi="Arial" w:cs="Arial"/>
          <w:sz w:val="20"/>
          <w:szCs w:val="20"/>
          <w:lang w:val="fr-FR"/>
        </w:rPr>
        <w:t xml:space="preserve">se pose </w:t>
      </w:r>
      <w:r w:rsidRPr="00AC3CB3">
        <w:rPr>
          <w:rFonts w:ascii="Arial" w:hAnsi="Arial" w:cs="Arial"/>
          <w:sz w:val="20"/>
          <w:szCs w:val="20"/>
          <w:lang w:val="fr-FR"/>
        </w:rPr>
        <w:t xml:space="preserve">la question </w:t>
      </w:r>
      <w:r>
        <w:rPr>
          <w:rFonts w:ascii="Arial" w:hAnsi="Arial" w:cs="Arial"/>
          <w:sz w:val="20"/>
          <w:szCs w:val="20"/>
          <w:lang w:val="fr-FR"/>
        </w:rPr>
        <w:t xml:space="preserve">du coût qu’entraînerait l’acceptation de l’initiative parlementaire </w:t>
      </w:r>
      <w:r w:rsidRPr="00AC3CB3">
        <w:rPr>
          <w:rFonts w:ascii="Arial" w:hAnsi="Arial" w:cs="Arial"/>
          <w:sz w:val="20"/>
          <w:szCs w:val="20"/>
          <w:lang w:val="fr-FR"/>
        </w:rPr>
        <w:t xml:space="preserve">Candinas. </w:t>
      </w:r>
      <w:r>
        <w:rPr>
          <w:rFonts w:ascii="Arial" w:hAnsi="Arial" w:cs="Arial"/>
          <w:sz w:val="20"/>
          <w:szCs w:val="20"/>
          <w:lang w:val="fr-FR"/>
        </w:rPr>
        <w:t>Ce coût est concevable é</w:t>
      </w:r>
      <w:r w:rsidRPr="00EE1F16">
        <w:rPr>
          <w:rFonts w:ascii="Arial" w:hAnsi="Arial" w:cs="Arial"/>
          <w:sz w:val="20"/>
          <w:szCs w:val="20"/>
          <w:lang w:val="fr-FR"/>
        </w:rPr>
        <w:t xml:space="preserve">tant donné que l’heureux événement </w:t>
      </w:r>
      <w:r>
        <w:rPr>
          <w:rFonts w:ascii="Arial" w:hAnsi="Arial" w:cs="Arial"/>
          <w:sz w:val="20"/>
          <w:szCs w:val="20"/>
          <w:lang w:val="fr-FR"/>
        </w:rPr>
        <w:t xml:space="preserve">de </w:t>
      </w:r>
      <w:r w:rsidRPr="00EE1F16">
        <w:rPr>
          <w:rFonts w:ascii="Arial" w:hAnsi="Arial" w:cs="Arial"/>
          <w:sz w:val="20"/>
          <w:szCs w:val="20"/>
          <w:lang w:val="fr-FR"/>
        </w:rPr>
        <w:t xml:space="preserve">la naissance de </w:t>
      </w:r>
      <w:r>
        <w:rPr>
          <w:rFonts w:ascii="Arial" w:hAnsi="Arial" w:cs="Arial"/>
          <w:sz w:val="20"/>
          <w:szCs w:val="20"/>
          <w:lang w:val="fr-FR"/>
        </w:rPr>
        <w:t>leur</w:t>
      </w:r>
      <w:r w:rsidRPr="00EE1F16">
        <w:rPr>
          <w:rFonts w:ascii="Arial" w:hAnsi="Arial" w:cs="Arial"/>
          <w:sz w:val="20"/>
          <w:szCs w:val="20"/>
          <w:lang w:val="fr-FR"/>
        </w:rPr>
        <w:t xml:space="preserve"> propre enfant ne se produit, pour la plupart des gens, qu’une, deux ou trois fois</w:t>
      </w:r>
      <w:r>
        <w:rPr>
          <w:rFonts w:ascii="Arial" w:hAnsi="Arial" w:cs="Arial"/>
          <w:sz w:val="20"/>
          <w:szCs w:val="20"/>
          <w:lang w:val="fr-FR"/>
        </w:rPr>
        <w:t xml:space="preserve"> au cours d’une vie</w:t>
      </w:r>
      <w:r w:rsidRPr="00EE1F16">
        <w:rPr>
          <w:rFonts w:ascii="Arial" w:hAnsi="Arial" w:cs="Arial"/>
          <w:sz w:val="20"/>
          <w:szCs w:val="20"/>
          <w:lang w:val="fr-FR"/>
        </w:rPr>
        <w:t xml:space="preserve">. </w:t>
      </w:r>
      <w:r w:rsidRPr="004663CA">
        <w:rPr>
          <w:rFonts w:ascii="Arial" w:hAnsi="Arial" w:cs="Arial"/>
          <w:sz w:val="20"/>
          <w:szCs w:val="20"/>
          <w:lang w:val="fr-FR"/>
        </w:rPr>
        <w:t xml:space="preserve">Dans son rapport de 2013, le Conseil fédéral évalue le coût d’un congé-paternité de quatre semaines (28 indemnités journalières) </w:t>
      </w:r>
      <w:r>
        <w:rPr>
          <w:rFonts w:ascii="Arial" w:hAnsi="Arial" w:cs="Arial"/>
          <w:sz w:val="20"/>
          <w:szCs w:val="20"/>
          <w:lang w:val="fr-FR"/>
        </w:rPr>
        <w:t xml:space="preserve">à quelque </w:t>
      </w:r>
      <w:r w:rsidRPr="004663CA">
        <w:rPr>
          <w:rFonts w:ascii="Arial" w:hAnsi="Arial" w:cs="Arial"/>
          <w:sz w:val="20"/>
          <w:szCs w:val="20"/>
          <w:lang w:val="fr-FR"/>
        </w:rPr>
        <w:t>380 millions de francs</w:t>
      </w:r>
      <w:r w:rsidRPr="001D7E3A">
        <w:rPr>
          <w:rStyle w:val="Funotenzeichen"/>
          <w:rFonts w:ascii="Arial" w:hAnsi="Arial" w:cs="Arial"/>
          <w:sz w:val="20"/>
          <w:szCs w:val="20"/>
        </w:rPr>
        <w:footnoteReference w:id="2"/>
      </w:r>
      <w:r w:rsidRPr="004663CA">
        <w:rPr>
          <w:rFonts w:ascii="Arial" w:hAnsi="Arial" w:cs="Arial"/>
          <w:sz w:val="20"/>
          <w:szCs w:val="20"/>
          <w:lang w:val="fr-FR"/>
        </w:rPr>
        <w:t>. En conséquence, si l’initiative parlementaire Candinas était acceptée, environ 190 millions de francs</w:t>
      </w:r>
      <w:r>
        <w:rPr>
          <w:rFonts w:ascii="Arial" w:hAnsi="Arial" w:cs="Arial"/>
          <w:sz w:val="20"/>
          <w:szCs w:val="20"/>
          <w:lang w:val="fr-FR"/>
        </w:rPr>
        <w:t xml:space="preserve"> au maximum seraient investis dans la relation père-enfant, ce qui correspond à </w:t>
      </w:r>
      <w:r w:rsidRPr="0022072D">
        <w:rPr>
          <w:rFonts w:ascii="Arial" w:hAnsi="Arial" w:cs="Arial"/>
          <w:sz w:val="20"/>
          <w:szCs w:val="20"/>
          <w:lang w:val="fr-FR"/>
        </w:rPr>
        <w:t>0</w:t>
      </w:r>
      <w:r>
        <w:rPr>
          <w:rFonts w:ascii="Arial" w:hAnsi="Arial" w:cs="Arial"/>
          <w:sz w:val="20"/>
          <w:szCs w:val="20"/>
          <w:lang w:val="fr-FR"/>
        </w:rPr>
        <w:t>,</w:t>
      </w:r>
      <w:r w:rsidRPr="0022072D">
        <w:rPr>
          <w:rFonts w:ascii="Arial" w:hAnsi="Arial" w:cs="Arial"/>
          <w:sz w:val="20"/>
          <w:szCs w:val="20"/>
          <w:lang w:val="fr-FR"/>
        </w:rPr>
        <w:t xml:space="preserve">05 pour cent de la masse salariale en Suisse. </w:t>
      </w:r>
      <w:r w:rsidRPr="004663CA">
        <w:rPr>
          <w:rFonts w:ascii="Arial" w:hAnsi="Arial" w:cs="Arial"/>
          <w:sz w:val="20"/>
          <w:szCs w:val="20"/>
          <w:lang w:val="fr-FR"/>
        </w:rPr>
        <w:t>L</w:t>
      </w:r>
      <w:r>
        <w:rPr>
          <w:rFonts w:ascii="Arial" w:hAnsi="Arial" w:cs="Arial"/>
          <w:sz w:val="20"/>
          <w:szCs w:val="20"/>
          <w:lang w:val="fr-FR"/>
        </w:rPr>
        <w:t xml:space="preserve">a prise en charge du </w:t>
      </w:r>
      <w:r w:rsidRPr="004663CA">
        <w:rPr>
          <w:rFonts w:ascii="Arial" w:hAnsi="Arial" w:cs="Arial"/>
          <w:sz w:val="20"/>
          <w:szCs w:val="20"/>
          <w:lang w:val="fr-FR"/>
        </w:rPr>
        <w:t>congé-paternité</w:t>
      </w:r>
      <w:r>
        <w:rPr>
          <w:rFonts w:ascii="Arial" w:hAnsi="Arial" w:cs="Arial"/>
          <w:sz w:val="20"/>
          <w:szCs w:val="20"/>
          <w:lang w:val="fr-FR"/>
        </w:rPr>
        <w:t xml:space="preserve"> </w:t>
      </w:r>
      <w:r w:rsidRPr="004663CA">
        <w:rPr>
          <w:rFonts w:ascii="Arial" w:hAnsi="Arial" w:cs="Arial"/>
          <w:sz w:val="20"/>
          <w:szCs w:val="20"/>
          <w:lang w:val="fr-FR"/>
        </w:rPr>
        <w:t>par le</w:t>
      </w:r>
      <w:r>
        <w:rPr>
          <w:rFonts w:ascii="Arial" w:hAnsi="Arial" w:cs="Arial"/>
          <w:sz w:val="20"/>
          <w:szCs w:val="20"/>
          <w:lang w:val="fr-FR"/>
        </w:rPr>
        <w:t xml:space="preserve"> régime de</w:t>
      </w:r>
      <w:r w:rsidRPr="004663CA">
        <w:rPr>
          <w:rFonts w:ascii="Arial" w:hAnsi="Arial" w:cs="Arial"/>
          <w:sz w:val="20"/>
          <w:szCs w:val="20"/>
          <w:lang w:val="fr-FR"/>
        </w:rPr>
        <w:t xml:space="preserve">s APG </w:t>
      </w:r>
      <w:r>
        <w:rPr>
          <w:rFonts w:ascii="Arial" w:hAnsi="Arial" w:cs="Arial"/>
          <w:sz w:val="20"/>
          <w:szCs w:val="20"/>
          <w:lang w:val="fr-FR"/>
        </w:rPr>
        <w:t>-</w:t>
      </w:r>
      <w:r w:rsidRPr="004663CA">
        <w:rPr>
          <w:rFonts w:ascii="Arial" w:hAnsi="Arial" w:cs="Arial"/>
          <w:sz w:val="20"/>
          <w:szCs w:val="20"/>
          <w:lang w:val="fr-FR"/>
        </w:rPr>
        <w:t xml:space="preserve"> tout comme</w:t>
      </w:r>
      <w:r>
        <w:rPr>
          <w:rFonts w:ascii="Arial" w:hAnsi="Arial" w:cs="Arial"/>
          <w:sz w:val="20"/>
          <w:szCs w:val="20"/>
          <w:lang w:val="fr-FR"/>
        </w:rPr>
        <w:t xml:space="preserve"> celle du</w:t>
      </w:r>
      <w:r w:rsidRPr="004663CA">
        <w:rPr>
          <w:rFonts w:ascii="Arial" w:hAnsi="Arial" w:cs="Arial"/>
          <w:sz w:val="20"/>
          <w:szCs w:val="20"/>
          <w:lang w:val="fr-FR"/>
        </w:rPr>
        <w:t xml:space="preserve"> congé-maternité </w:t>
      </w:r>
      <w:r>
        <w:rPr>
          <w:rFonts w:ascii="Arial" w:hAnsi="Arial" w:cs="Arial"/>
          <w:sz w:val="20"/>
          <w:szCs w:val="20"/>
          <w:lang w:val="fr-FR"/>
        </w:rPr>
        <w:t xml:space="preserve">- </w:t>
      </w:r>
      <w:r w:rsidRPr="004663CA">
        <w:rPr>
          <w:rFonts w:ascii="Arial" w:hAnsi="Arial" w:cs="Arial"/>
          <w:sz w:val="20"/>
          <w:szCs w:val="20"/>
          <w:lang w:val="fr-FR"/>
        </w:rPr>
        <w:t xml:space="preserve">est </w:t>
      </w:r>
      <w:r>
        <w:rPr>
          <w:rFonts w:ascii="Arial" w:hAnsi="Arial" w:cs="Arial"/>
          <w:sz w:val="20"/>
          <w:szCs w:val="20"/>
          <w:lang w:val="fr-FR"/>
        </w:rPr>
        <w:t>logique, et il se trouve</w:t>
      </w:r>
      <w:r w:rsidRPr="004663CA">
        <w:rPr>
          <w:rFonts w:ascii="Arial" w:hAnsi="Arial" w:cs="Arial"/>
          <w:sz w:val="20"/>
          <w:szCs w:val="20"/>
          <w:lang w:val="fr-FR"/>
        </w:rPr>
        <w:t xml:space="preserve"> que les APG supporteront </w:t>
      </w:r>
      <w:r>
        <w:rPr>
          <w:rFonts w:ascii="Arial" w:hAnsi="Arial" w:cs="Arial"/>
          <w:sz w:val="20"/>
          <w:szCs w:val="20"/>
          <w:lang w:val="fr-FR"/>
        </w:rPr>
        <w:t xml:space="preserve">aisément </w:t>
      </w:r>
      <w:r w:rsidRPr="004663CA">
        <w:rPr>
          <w:rFonts w:ascii="Arial" w:hAnsi="Arial" w:cs="Arial"/>
          <w:sz w:val="20"/>
          <w:szCs w:val="20"/>
          <w:lang w:val="fr-FR"/>
        </w:rPr>
        <w:t>cette nouvelle prestation.</w:t>
      </w:r>
    </w:p>
    <w:p w:rsidR="00202CE4" w:rsidRPr="004663CA" w:rsidRDefault="00202CE4" w:rsidP="001D7E3A">
      <w:pPr>
        <w:spacing w:after="0" w:line="300" w:lineRule="exact"/>
        <w:rPr>
          <w:rFonts w:ascii="Arial" w:hAnsi="Arial" w:cs="Arial"/>
          <w:sz w:val="20"/>
          <w:szCs w:val="20"/>
          <w:lang w:val="fr-FR"/>
        </w:rPr>
      </w:pPr>
    </w:p>
    <w:p w:rsidR="00202CE4" w:rsidRPr="004663CA" w:rsidRDefault="00202CE4" w:rsidP="001D7E3A">
      <w:pPr>
        <w:spacing w:after="0" w:line="300" w:lineRule="exact"/>
        <w:rPr>
          <w:rFonts w:ascii="Arial" w:hAnsi="Arial" w:cs="Arial"/>
          <w:sz w:val="20"/>
          <w:szCs w:val="20"/>
          <w:lang w:val="fr-FR"/>
        </w:rPr>
      </w:pPr>
    </w:p>
    <w:p w:rsidR="00202CE4" w:rsidRPr="00845087" w:rsidRDefault="00202CE4" w:rsidP="001D7E3A">
      <w:pPr>
        <w:spacing w:after="0" w:line="300" w:lineRule="exact"/>
        <w:rPr>
          <w:rFonts w:ascii="Arial" w:hAnsi="Arial" w:cs="Arial"/>
          <w:b/>
          <w:sz w:val="20"/>
          <w:szCs w:val="20"/>
          <w:lang w:val="fr-FR"/>
        </w:rPr>
      </w:pPr>
      <w:r w:rsidRPr="00845087">
        <w:rPr>
          <w:rFonts w:ascii="Arial" w:hAnsi="Arial" w:cs="Arial"/>
          <w:b/>
          <w:sz w:val="20"/>
          <w:szCs w:val="20"/>
          <w:lang w:val="fr-FR"/>
        </w:rPr>
        <w:t>Le</w:t>
      </w:r>
      <w:r>
        <w:rPr>
          <w:rFonts w:ascii="Arial" w:hAnsi="Arial" w:cs="Arial"/>
          <w:b/>
          <w:sz w:val="20"/>
          <w:szCs w:val="20"/>
          <w:lang w:val="fr-FR"/>
        </w:rPr>
        <w:t xml:space="preserve"> régime de</w:t>
      </w:r>
      <w:r w:rsidRPr="00845087">
        <w:rPr>
          <w:rFonts w:ascii="Arial" w:hAnsi="Arial" w:cs="Arial"/>
          <w:b/>
          <w:sz w:val="20"/>
          <w:szCs w:val="20"/>
          <w:lang w:val="fr-FR"/>
        </w:rPr>
        <w:t xml:space="preserve">s allocations pour perte de gain </w:t>
      </w:r>
      <w:r>
        <w:rPr>
          <w:rFonts w:ascii="Arial" w:hAnsi="Arial" w:cs="Arial"/>
          <w:b/>
          <w:sz w:val="20"/>
          <w:szCs w:val="20"/>
          <w:lang w:val="fr-FR"/>
        </w:rPr>
        <w:t>(APG) est bénéficiaire</w:t>
      </w:r>
    </w:p>
    <w:p w:rsidR="00202CE4" w:rsidRPr="00845087" w:rsidRDefault="00202CE4" w:rsidP="001D7E3A">
      <w:pPr>
        <w:spacing w:after="0" w:line="300" w:lineRule="exact"/>
        <w:rPr>
          <w:rFonts w:ascii="Arial" w:hAnsi="Arial" w:cs="Arial"/>
          <w:sz w:val="20"/>
          <w:szCs w:val="20"/>
          <w:lang w:val="fr-FR"/>
        </w:rPr>
      </w:pPr>
    </w:p>
    <w:p w:rsidR="00202CE4" w:rsidRPr="00907B10" w:rsidRDefault="00202CE4" w:rsidP="001D7E3A">
      <w:pPr>
        <w:spacing w:after="0" w:line="300" w:lineRule="exact"/>
        <w:rPr>
          <w:rFonts w:ascii="Arial" w:hAnsi="Arial" w:cs="Arial"/>
          <w:sz w:val="20"/>
          <w:szCs w:val="20"/>
          <w:lang w:val="fr-FR"/>
        </w:rPr>
      </w:pPr>
      <w:r w:rsidRPr="00845087">
        <w:rPr>
          <w:rFonts w:ascii="Arial" w:hAnsi="Arial" w:cs="Arial"/>
          <w:sz w:val="20"/>
          <w:szCs w:val="20"/>
          <w:lang w:val="fr-FR"/>
        </w:rPr>
        <w:t>Les tout derniers chiffres concernant les allocations pour perte de gain</w:t>
      </w:r>
      <w:r>
        <w:rPr>
          <w:rFonts w:ascii="Arial" w:hAnsi="Arial" w:cs="Arial"/>
          <w:sz w:val="20"/>
          <w:szCs w:val="20"/>
          <w:lang w:val="fr-FR"/>
        </w:rPr>
        <w:t xml:space="preserve"> (APG)</w:t>
      </w:r>
      <w:r w:rsidRPr="00845087">
        <w:rPr>
          <w:rFonts w:ascii="Arial" w:hAnsi="Arial" w:cs="Arial"/>
          <w:sz w:val="20"/>
          <w:szCs w:val="20"/>
          <w:lang w:val="fr-FR"/>
        </w:rPr>
        <w:t xml:space="preserve"> ont été présenté</w:t>
      </w:r>
      <w:r>
        <w:rPr>
          <w:rFonts w:ascii="Arial" w:hAnsi="Arial" w:cs="Arial"/>
          <w:sz w:val="20"/>
          <w:szCs w:val="20"/>
          <w:lang w:val="fr-FR"/>
        </w:rPr>
        <w:t>s à fin mars</w:t>
      </w:r>
      <w:r w:rsidRPr="00845087">
        <w:rPr>
          <w:rFonts w:ascii="Arial" w:hAnsi="Arial" w:cs="Arial"/>
          <w:sz w:val="20"/>
          <w:szCs w:val="20"/>
          <w:lang w:val="fr-FR"/>
        </w:rPr>
        <w:t xml:space="preserve">. L’année passée, les </w:t>
      </w:r>
      <w:r>
        <w:rPr>
          <w:rFonts w:ascii="Arial" w:hAnsi="Arial" w:cs="Arial"/>
          <w:sz w:val="20"/>
          <w:szCs w:val="20"/>
          <w:lang w:val="fr-FR"/>
        </w:rPr>
        <w:t xml:space="preserve">APG </w:t>
      </w:r>
      <w:r w:rsidRPr="00845087">
        <w:rPr>
          <w:rFonts w:ascii="Arial" w:hAnsi="Arial" w:cs="Arial"/>
          <w:sz w:val="20"/>
          <w:szCs w:val="20"/>
          <w:lang w:val="fr-FR"/>
        </w:rPr>
        <w:t>ont enregistré un excédent</w:t>
      </w:r>
      <w:r>
        <w:rPr>
          <w:rFonts w:ascii="Arial" w:hAnsi="Arial" w:cs="Arial"/>
          <w:sz w:val="20"/>
          <w:szCs w:val="20"/>
          <w:lang w:val="fr-FR"/>
        </w:rPr>
        <w:t xml:space="preserve"> de recettes</w:t>
      </w:r>
      <w:r w:rsidRPr="00845087">
        <w:rPr>
          <w:rFonts w:ascii="Arial" w:hAnsi="Arial" w:cs="Arial"/>
          <w:sz w:val="20"/>
          <w:szCs w:val="20"/>
          <w:lang w:val="fr-FR"/>
        </w:rPr>
        <w:t xml:space="preserve"> de 170 millions de francs et ont pu constituer des réserves </w:t>
      </w:r>
      <w:r>
        <w:rPr>
          <w:rFonts w:ascii="Arial" w:hAnsi="Arial" w:cs="Arial"/>
          <w:sz w:val="20"/>
          <w:szCs w:val="20"/>
          <w:lang w:val="fr-FR"/>
        </w:rPr>
        <w:t>représentant la moitié de leurs dépenses annuelles</w:t>
      </w:r>
      <w:r w:rsidRPr="001D7E3A">
        <w:rPr>
          <w:rStyle w:val="Funotenzeichen"/>
          <w:rFonts w:ascii="Arial" w:hAnsi="Arial" w:cs="Arial"/>
          <w:sz w:val="20"/>
          <w:szCs w:val="20"/>
        </w:rPr>
        <w:footnoteReference w:id="3"/>
      </w:r>
      <w:r w:rsidRPr="00845087">
        <w:rPr>
          <w:rFonts w:ascii="Arial" w:hAnsi="Arial" w:cs="Arial"/>
          <w:sz w:val="20"/>
          <w:szCs w:val="20"/>
          <w:lang w:val="fr-FR"/>
        </w:rPr>
        <w:t xml:space="preserve">. </w:t>
      </w:r>
      <w:r w:rsidRPr="00A66E40">
        <w:rPr>
          <w:rFonts w:ascii="Arial" w:hAnsi="Arial" w:cs="Arial"/>
          <w:sz w:val="20"/>
          <w:szCs w:val="20"/>
          <w:lang w:val="fr-FR"/>
        </w:rPr>
        <w:t xml:space="preserve">La fortune atteignait près d’un milliard de francs. </w:t>
      </w:r>
      <w:r w:rsidRPr="00546B69">
        <w:rPr>
          <w:rFonts w:ascii="Arial" w:hAnsi="Arial" w:cs="Arial"/>
          <w:sz w:val="20"/>
          <w:szCs w:val="20"/>
          <w:lang w:val="fr-FR"/>
        </w:rPr>
        <w:t xml:space="preserve">Les indemnités de maternité représentent environ 45 pour cent des dépenses, les indemnités de </w:t>
      </w:r>
      <w:r w:rsidRPr="00C64BF5">
        <w:rPr>
          <w:rFonts w:ascii="Arial" w:hAnsi="Arial" w:cs="Arial"/>
          <w:sz w:val="20"/>
          <w:szCs w:val="20"/>
          <w:lang w:val="fr-FR"/>
        </w:rPr>
        <w:t>service (allocations pour perte de gain due à une période de service militaire) environ 55 pour cent, et la</w:t>
      </w:r>
      <w:r w:rsidRPr="00256141">
        <w:rPr>
          <w:rFonts w:ascii="Arial" w:hAnsi="Arial" w:cs="Arial"/>
          <w:sz w:val="20"/>
          <w:szCs w:val="20"/>
          <w:lang w:val="fr-FR"/>
        </w:rPr>
        <w:t xml:space="preserve"> tendance est à </w:t>
      </w:r>
      <w:smartTag w:uri="urn:schemas-microsoft-com:office:smarttags" w:element="PersonName">
        <w:smartTagPr>
          <w:attr w:name="ProductID" w:val="la baisse. Les"/>
        </w:smartTagPr>
        <w:r w:rsidRPr="00256141">
          <w:rPr>
            <w:rFonts w:ascii="Arial" w:hAnsi="Arial" w:cs="Arial"/>
            <w:sz w:val="20"/>
            <w:szCs w:val="20"/>
            <w:lang w:val="fr-FR"/>
          </w:rPr>
          <w:t>la baisse</w:t>
        </w:r>
        <w:r w:rsidRPr="00EE1F16">
          <w:rPr>
            <w:rFonts w:ascii="Arial" w:hAnsi="Arial" w:cs="Arial"/>
            <w:sz w:val="20"/>
            <w:szCs w:val="20"/>
            <w:lang w:val="fr-FR"/>
          </w:rPr>
          <w:t>. Les</w:t>
        </w:r>
      </w:smartTag>
      <w:r w:rsidRPr="00EE1F16">
        <w:rPr>
          <w:rFonts w:ascii="Arial" w:hAnsi="Arial" w:cs="Arial"/>
          <w:sz w:val="20"/>
          <w:szCs w:val="20"/>
          <w:lang w:val="fr-FR"/>
        </w:rPr>
        <w:t xml:space="preserve"> excédents </w:t>
      </w:r>
      <w:r>
        <w:rPr>
          <w:rFonts w:ascii="Arial" w:hAnsi="Arial" w:cs="Arial"/>
          <w:sz w:val="20"/>
          <w:szCs w:val="20"/>
          <w:lang w:val="fr-FR"/>
        </w:rPr>
        <w:t xml:space="preserve">s’inscrivent dans l’ordre de grandeur </w:t>
      </w:r>
      <w:r w:rsidRPr="00EE1F16">
        <w:rPr>
          <w:rFonts w:ascii="Arial" w:hAnsi="Arial" w:cs="Arial"/>
          <w:sz w:val="20"/>
          <w:szCs w:val="20"/>
          <w:lang w:val="fr-FR"/>
        </w:rPr>
        <w:t xml:space="preserve">des coûts d’un congé-paternité de deux semaines. Les APG </w:t>
      </w:r>
      <w:r>
        <w:rPr>
          <w:rFonts w:ascii="Arial" w:hAnsi="Arial" w:cs="Arial"/>
          <w:sz w:val="20"/>
          <w:szCs w:val="20"/>
          <w:lang w:val="fr-FR"/>
        </w:rPr>
        <w:t xml:space="preserve">évoluent </w:t>
      </w:r>
      <w:r w:rsidRPr="00EE1F16">
        <w:rPr>
          <w:rFonts w:ascii="Arial" w:hAnsi="Arial" w:cs="Arial"/>
          <w:sz w:val="20"/>
          <w:szCs w:val="20"/>
          <w:lang w:val="fr-FR"/>
        </w:rPr>
        <w:t xml:space="preserve">donc </w:t>
      </w:r>
      <w:r>
        <w:rPr>
          <w:rFonts w:ascii="Arial" w:hAnsi="Arial" w:cs="Arial"/>
          <w:sz w:val="20"/>
          <w:szCs w:val="20"/>
          <w:lang w:val="fr-FR"/>
        </w:rPr>
        <w:t xml:space="preserve">d’une manière </w:t>
      </w:r>
      <w:r w:rsidRPr="00740FA0">
        <w:rPr>
          <w:rFonts w:ascii="Arial" w:hAnsi="Arial" w:cs="Arial"/>
          <w:sz w:val="20"/>
          <w:szCs w:val="20"/>
          <w:lang w:val="fr-FR"/>
        </w:rPr>
        <w:t>régulière et stable</w:t>
      </w:r>
      <w:r w:rsidRPr="00EE1F16">
        <w:rPr>
          <w:rFonts w:ascii="Arial" w:hAnsi="Arial" w:cs="Arial"/>
          <w:sz w:val="20"/>
          <w:szCs w:val="20"/>
          <w:lang w:val="fr-FR"/>
        </w:rPr>
        <w:t xml:space="preserve">. </w:t>
      </w:r>
      <w:r w:rsidRPr="00907B10">
        <w:rPr>
          <w:rFonts w:ascii="Arial" w:hAnsi="Arial" w:cs="Arial"/>
          <w:sz w:val="20"/>
          <w:szCs w:val="20"/>
          <w:lang w:val="fr-FR"/>
        </w:rPr>
        <w:t xml:space="preserve">La vision pour demain - </w:t>
      </w:r>
      <w:r w:rsidRPr="00EE1F16">
        <w:rPr>
          <w:rFonts w:ascii="Arial" w:hAnsi="Arial" w:cs="Arial"/>
          <w:sz w:val="20"/>
          <w:szCs w:val="20"/>
          <w:lang w:val="fr-FR"/>
        </w:rPr>
        <w:t xml:space="preserve">sur les perspectives financières à long terme des APG </w:t>
      </w:r>
      <w:r>
        <w:rPr>
          <w:rFonts w:ascii="Arial" w:hAnsi="Arial" w:cs="Arial"/>
          <w:sz w:val="20"/>
          <w:szCs w:val="20"/>
          <w:lang w:val="fr-FR"/>
        </w:rPr>
        <w:t xml:space="preserve">- </w:t>
      </w:r>
      <w:r w:rsidRPr="00907B10">
        <w:rPr>
          <w:rFonts w:ascii="Arial" w:hAnsi="Arial" w:cs="Arial"/>
          <w:sz w:val="20"/>
          <w:szCs w:val="20"/>
          <w:lang w:val="fr-FR"/>
        </w:rPr>
        <w:t>est encore plus importante</w:t>
      </w:r>
      <w:r>
        <w:rPr>
          <w:rFonts w:ascii="Arial" w:hAnsi="Arial" w:cs="Arial"/>
          <w:sz w:val="20"/>
          <w:szCs w:val="20"/>
          <w:lang w:val="fr-FR"/>
        </w:rPr>
        <w:t>, l</w:t>
      </w:r>
      <w:r w:rsidRPr="00907B10">
        <w:rPr>
          <w:rFonts w:ascii="Arial" w:hAnsi="Arial" w:cs="Arial"/>
          <w:sz w:val="20"/>
          <w:szCs w:val="20"/>
          <w:lang w:val="fr-FR"/>
        </w:rPr>
        <w:t>e Conseil fédéral envisage</w:t>
      </w:r>
      <w:r>
        <w:rPr>
          <w:rFonts w:ascii="Arial" w:hAnsi="Arial" w:cs="Arial"/>
          <w:sz w:val="20"/>
          <w:szCs w:val="20"/>
          <w:lang w:val="fr-FR"/>
        </w:rPr>
        <w:t>ant</w:t>
      </w:r>
      <w:r w:rsidRPr="00907B10">
        <w:rPr>
          <w:rFonts w:ascii="Arial" w:hAnsi="Arial" w:cs="Arial"/>
          <w:sz w:val="20"/>
          <w:szCs w:val="20"/>
          <w:lang w:val="fr-FR"/>
        </w:rPr>
        <w:t xml:space="preserve"> là aussi une évolution positive: </w:t>
      </w:r>
    </w:p>
    <w:p w:rsidR="00202CE4" w:rsidRPr="00907B10" w:rsidRDefault="00202CE4" w:rsidP="001D7E3A">
      <w:pPr>
        <w:spacing w:after="0" w:line="300" w:lineRule="exact"/>
        <w:rPr>
          <w:rFonts w:ascii="Arial" w:hAnsi="Arial" w:cs="Arial"/>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1499"/>
        <w:gridCol w:w="1394"/>
        <w:gridCol w:w="1499"/>
        <w:gridCol w:w="1500"/>
        <w:gridCol w:w="1500"/>
      </w:tblGrid>
      <w:tr w:rsidR="00202CE4" w:rsidRPr="00EF088D" w:rsidTr="00EF088D">
        <w:tc>
          <w:tcPr>
            <w:tcW w:w="1670" w:type="dxa"/>
            <w:shd w:val="clear" w:color="auto" w:fill="D0CECE"/>
          </w:tcPr>
          <w:p w:rsidR="00202CE4" w:rsidRPr="00EF088D" w:rsidRDefault="00202CE4" w:rsidP="00EF088D">
            <w:pPr>
              <w:spacing w:after="0" w:line="300" w:lineRule="exact"/>
              <w:rPr>
                <w:rFonts w:ascii="Arial" w:hAnsi="Arial" w:cs="Arial"/>
                <w:b/>
                <w:sz w:val="20"/>
                <w:szCs w:val="20"/>
              </w:rPr>
            </w:pPr>
            <w:r>
              <w:rPr>
                <w:rFonts w:ascii="Arial" w:hAnsi="Arial" w:cs="Arial"/>
                <w:b/>
                <w:sz w:val="20"/>
                <w:szCs w:val="20"/>
              </w:rPr>
              <w:t>En millions de</w:t>
            </w:r>
            <w:r w:rsidRPr="00EF088D">
              <w:rPr>
                <w:rFonts w:ascii="Arial" w:hAnsi="Arial" w:cs="Arial"/>
                <w:b/>
                <w:sz w:val="20"/>
                <w:szCs w:val="20"/>
              </w:rPr>
              <w:t xml:space="preserve"> CHF</w:t>
            </w:r>
          </w:p>
        </w:tc>
        <w:tc>
          <w:tcPr>
            <w:tcW w:w="1499" w:type="dxa"/>
            <w:shd w:val="clear" w:color="auto" w:fill="D0CECE"/>
          </w:tcPr>
          <w:p w:rsidR="00202CE4" w:rsidRPr="00EF088D" w:rsidRDefault="00202CE4" w:rsidP="00EF088D">
            <w:pPr>
              <w:spacing w:after="0" w:line="300" w:lineRule="exact"/>
              <w:rPr>
                <w:rFonts w:ascii="Arial" w:hAnsi="Arial" w:cs="Arial"/>
                <w:b/>
                <w:sz w:val="20"/>
                <w:szCs w:val="20"/>
              </w:rPr>
            </w:pPr>
            <w:r w:rsidRPr="00EF088D">
              <w:rPr>
                <w:rFonts w:ascii="Arial" w:hAnsi="Arial" w:cs="Arial"/>
                <w:b/>
                <w:sz w:val="20"/>
                <w:szCs w:val="20"/>
              </w:rPr>
              <w:t>2015</w:t>
            </w:r>
          </w:p>
        </w:tc>
        <w:tc>
          <w:tcPr>
            <w:tcW w:w="1394" w:type="dxa"/>
            <w:shd w:val="clear" w:color="auto" w:fill="D0CECE"/>
          </w:tcPr>
          <w:p w:rsidR="00202CE4" w:rsidRPr="00EF088D" w:rsidRDefault="00202CE4" w:rsidP="00EF088D">
            <w:pPr>
              <w:spacing w:after="0" w:line="300" w:lineRule="exact"/>
              <w:rPr>
                <w:rFonts w:ascii="Arial" w:hAnsi="Arial" w:cs="Arial"/>
                <w:b/>
                <w:sz w:val="20"/>
                <w:szCs w:val="20"/>
              </w:rPr>
            </w:pPr>
            <w:r w:rsidRPr="00EF088D">
              <w:rPr>
                <w:rFonts w:ascii="Arial" w:hAnsi="Arial" w:cs="Arial"/>
                <w:b/>
                <w:sz w:val="20"/>
                <w:szCs w:val="20"/>
              </w:rPr>
              <w:t>2020</w:t>
            </w:r>
          </w:p>
        </w:tc>
        <w:tc>
          <w:tcPr>
            <w:tcW w:w="1499" w:type="dxa"/>
            <w:shd w:val="clear" w:color="auto" w:fill="D0CECE"/>
          </w:tcPr>
          <w:p w:rsidR="00202CE4" w:rsidRPr="00EF088D" w:rsidRDefault="00202CE4" w:rsidP="00EF088D">
            <w:pPr>
              <w:spacing w:after="0" w:line="300" w:lineRule="exact"/>
              <w:rPr>
                <w:rFonts w:ascii="Arial" w:hAnsi="Arial" w:cs="Arial"/>
                <w:b/>
                <w:sz w:val="20"/>
                <w:szCs w:val="20"/>
              </w:rPr>
            </w:pPr>
            <w:r w:rsidRPr="00EF088D">
              <w:rPr>
                <w:rFonts w:ascii="Arial" w:hAnsi="Arial" w:cs="Arial"/>
                <w:b/>
                <w:sz w:val="20"/>
                <w:szCs w:val="20"/>
              </w:rPr>
              <w:t>2025</w:t>
            </w:r>
          </w:p>
        </w:tc>
        <w:tc>
          <w:tcPr>
            <w:tcW w:w="1500" w:type="dxa"/>
            <w:shd w:val="clear" w:color="auto" w:fill="D0CECE"/>
          </w:tcPr>
          <w:p w:rsidR="00202CE4" w:rsidRPr="00EF088D" w:rsidRDefault="00202CE4" w:rsidP="00EF088D">
            <w:pPr>
              <w:spacing w:after="0" w:line="300" w:lineRule="exact"/>
              <w:rPr>
                <w:rFonts w:ascii="Arial" w:hAnsi="Arial" w:cs="Arial"/>
                <w:b/>
                <w:sz w:val="20"/>
                <w:szCs w:val="20"/>
              </w:rPr>
            </w:pPr>
            <w:r w:rsidRPr="00EF088D">
              <w:rPr>
                <w:rFonts w:ascii="Arial" w:hAnsi="Arial" w:cs="Arial"/>
                <w:b/>
                <w:sz w:val="20"/>
                <w:szCs w:val="20"/>
              </w:rPr>
              <w:t>2030</w:t>
            </w:r>
          </w:p>
        </w:tc>
        <w:tc>
          <w:tcPr>
            <w:tcW w:w="1500" w:type="dxa"/>
            <w:shd w:val="clear" w:color="auto" w:fill="D0CECE"/>
          </w:tcPr>
          <w:p w:rsidR="00202CE4" w:rsidRPr="00EF088D" w:rsidRDefault="00202CE4" w:rsidP="00EF088D">
            <w:pPr>
              <w:spacing w:after="0" w:line="300" w:lineRule="exact"/>
              <w:rPr>
                <w:rFonts w:ascii="Arial" w:hAnsi="Arial" w:cs="Arial"/>
                <w:b/>
                <w:sz w:val="20"/>
                <w:szCs w:val="20"/>
              </w:rPr>
            </w:pPr>
            <w:r w:rsidRPr="00EF088D">
              <w:rPr>
                <w:rFonts w:ascii="Arial" w:hAnsi="Arial" w:cs="Arial"/>
                <w:b/>
                <w:sz w:val="20"/>
                <w:szCs w:val="20"/>
              </w:rPr>
              <w:t>2035</w:t>
            </w:r>
          </w:p>
        </w:tc>
      </w:tr>
      <w:tr w:rsidR="00202CE4" w:rsidRPr="00EF088D" w:rsidTr="00EF088D">
        <w:tc>
          <w:tcPr>
            <w:tcW w:w="1670" w:type="dxa"/>
            <w:shd w:val="clear" w:color="auto" w:fill="D0CECE"/>
          </w:tcPr>
          <w:p w:rsidR="00202CE4" w:rsidRPr="00EF088D" w:rsidRDefault="00202CE4" w:rsidP="00EF088D">
            <w:pPr>
              <w:spacing w:after="0" w:line="300" w:lineRule="exact"/>
              <w:rPr>
                <w:rFonts w:ascii="Arial" w:hAnsi="Arial" w:cs="Arial"/>
                <w:sz w:val="20"/>
                <w:szCs w:val="20"/>
              </w:rPr>
            </w:pPr>
            <w:r>
              <w:rPr>
                <w:rFonts w:ascii="Arial" w:hAnsi="Arial" w:cs="Arial"/>
                <w:sz w:val="20"/>
                <w:szCs w:val="20"/>
              </w:rPr>
              <w:t xml:space="preserve">Recettes </w:t>
            </w:r>
          </w:p>
        </w:tc>
        <w:tc>
          <w:tcPr>
            <w:tcW w:w="1499"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1837</w:t>
            </w:r>
          </w:p>
        </w:tc>
        <w:tc>
          <w:tcPr>
            <w:tcW w:w="1394"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2028</w:t>
            </w:r>
          </w:p>
        </w:tc>
        <w:tc>
          <w:tcPr>
            <w:tcW w:w="1499"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2195</w:t>
            </w:r>
          </w:p>
        </w:tc>
        <w:tc>
          <w:tcPr>
            <w:tcW w:w="1500"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2369</w:t>
            </w:r>
          </w:p>
        </w:tc>
        <w:tc>
          <w:tcPr>
            <w:tcW w:w="1500"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2583</w:t>
            </w:r>
          </w:p>
        </w:tc>
      </w:tr>
      <w:tr w:rsidR="00202CE4" w:rsidRPr="00EF088D" w:rsidTr="00EF088D">
        <w:tc>
          <w:tcPr>
            <w:tcW w:w="1670" w:type="dxa"/>
            <w:shd w:val="clear" w:color="auto" w:fill="D0CECE"/>
          </w:tcPr>
          <w:p w:rsidR="00202CE4" w:rsidRPr="00EF088D" w:rsidRDefault="00202CE4" w:rsidP="00EF088D">
            <w:pPr>
              <w:spacing w:after="0" w:line="300" w:lineRule="exact"/>
              <w:rPr>
                <w:rFonts w:ascii="Arial" w:hAnsi="Arial" w:cs="Arial"/>
                <w:sz w:val="20"/>
                <w:szCs w:val="20"/>
              </w:rPr>
            </w:pPr>
            <w:r>
              <w:rPr>
                <w:rFonts w:ascii="Arial" w:hAnsi="Arial" w:cs="Arial"/>
                <w:sz w:val="20"/>
                <w:szCs w:val="20"/>
              </w:rPr>
              <w:t xml:space="preserve">Dépenses </w:t>
            </w:r>
          </w:p>
        </w:tc>
        <w:tc>
          <w:tcPr>
            <w:tcW w:w="1499"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1679</w:t>
            </w:r>
          </w:p>
        </w:tc>
        <w:tc>
          <w:tcPr>
            <w:tcW w:w="1394"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1770</w:t>
            </w:r>
          </w:p>
        </w:tc>
        <w:tc>
          <w:tcPr>
            <w:tcW w:w="1499"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1828</w:t>
            </w:r>
          </w:p>
        </w:tc>
        <w:tc>
          <w:tcPr>
            <w:tcW w:w="1500"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1902</w:t>
            </w:r>
          </w:p>
        </w:tc>
        <w:tc>
          <w:tcPr>
            <w:tcW w:w="1500"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2020</w:t>
            </w:r>
          </w:p>
        </w:tc>
      </w:tr>
      <w:tr w:rsidR="00202CE4" w:rsidRPr="00EF088D" w:rsidTr="00EF088D">
        <w:tc>
          <w:tcPr>
            <w:tcW w:w="1670" w:type="dxa"/>
            <w:shd w:val="clear" w:color="auto" w:fill="D0CECE"/>
          </w:tcPr>
          <w:p w:rsidR="00202CE4" w:rsidRPr="00727931" w:rsidRDefault="00202CE4" w:rsidP="00EF088D">
            <w:pPr>
              <w:spacing w:after="0" w:line="300" w:lineRule="exact"/>
              <w:rPr>
                <w:rFonts w:ascii="Arial" w:hAnsi="Arial" w:cs="Arial"/>
                <w:sz w:val="20"/>
                <w:szCs w:val="20"/>
                <w:lang w:val="fr-FR"/>
              </w:rPr>
            </w:pPr>
            <w:r>
              <w:rPr>
                <w:rFonts w:ascii="Arial" w:hAnsi="Arial" w:cs="Arial"/>
                <w:sz w:val="20"/>
                <w:szCs w:val="20"/>
                <w:lang w:val="fr-FR"/>
              </w:rPr>
              <w:t xml:space="preserve">Résultat de </w:t>
            </w:r>
            <w:r w:rsidRPr="00727931">
              <w:rPr>
                <w:rFonts w:ascii="Arial" w:hAnsi="Arial" w:cs="Arial"/>
                <w:sz w:val="20"/>
                <w:szCs w:val="20"/>
                <w:lang w:val="fr-FR"/>
              </w:rPr>
              <w:t xml:space="preserve">placements </w:t>
            </w:r>
          </w:p>
        </w:tc>
        <w:tc>
          <w:tcPr>
            <w:tcW w:w="1499"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140</w:t>
            </w:r>
          </w:p>
        </w:tc>
        <w:tc>
          <w:tcPr>
            <w:tcW w:w="1394"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195</w:t>
            </w:r>
          </w:p>
        </w:tc>
        <w:tc>
          <w:tcPr>
            <w:tcW w:w="1499"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254</w:t>
            </w:r>
          </w:p>
        </w:tc>
        <w:tc>
          <w:tcPr>
            <w:tcW w:w="1500"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287</w:t>
            </w:r>
          </w:p>
        </w:tc>
        <w:tc>
          <w:tcPr>
            <w:tcW w:w="1500"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304</w:t>
            </w:r>
          </w:p>
        </w:tc>
      </w:tr>
      <w:tr w:rsidR="00202CE4" w:rsidRPr="00EF088D" w:rsidTr="00EF088D">
        <w:tc>
          <w:tcPr>
            <w:tcW w:w="1670" w:type="dxa"/>
            <w:shd w:val="clear" w:color="auto" w:fill="D0CECE"/>
          </w:tcPr>
          <w:p w:rsidR="00202CE4" w:rsidRPr="00F2049A" w:rsidRDefault="00202CE4" w:rsidP="00EF088D">
            <w:pPr>
              <w:spacing w:after="0" w:line="300" w:lineRule="exact"/>
              <w:rPr>
                <w:rFonts w:ascii="Arial" w:hAnsi="Arial" w:cs="Arial"/>
                <w:sz w:val="20"/>
                <w:szCs w:val="20"/>
                <w:lang w:val="fr-FR"/>
              </w:rPr>
            </w:pPr>
            <w:r>
              <w:rPr>
                <w:rFonts w:ascii="Arial" w:hAnsi="Arial" w:cs="Arial"/>
                <w:sz w:val="20"/>
                <w:szCs w:val="20"/>
                <w:lang w:val="fr-FR"/>
              </w:rPr>
              <w:t>Totalité des excédents</w:t>
            </w:r>
            <w:r w:rsidRPr="00F2049A">
              <w:rPr>
                <w:rFonts w:ascii="Arial" w:hAnsi="Arial" w:cs="Arial"/>
                <w:sz w:val="20"/>
                <w:szCs w:val="20"/>
                <w:lang w:val="fr-FR"/>
              </w:rPr>
              <w:t xml:space="preserve"> (y compris </w:t>
            </w:r>
            <w:r>
              <w:rPr>
                <w:rFonts w:ascii="Arial" w:hAnsi="Arial" w:cs="Arial"/>
                <w:sz w:val="20"/>
                <w:szCs w:val="20"/>
                <w:lang w:val="fr-FR"/>
              </w:rPr>
              <w:t xml:space="preserve">produit </w:t>
            </w:r>
            <w:r w:rsidRPr="00F2049A">
              <w:rPr>
                <w:rFonts w:ascii="Arial" w:hAnsi="Arial" w:cs="Arial"/>
                <w:sz w:val="20"/>
                <w:szCs w:val="20"/>
                <w:lang w:val="fr-FR"/>
              </w:rPr>
              <w:t>des investissements)</w:t>
            </w:r>
          </w:p>
        </w:tc>
        <w:tc>
          <w:tcPr>
            <w:tcW w:w="1499"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158</w:t>
            </w:r>
          </w:p>
        </w:tc>
        <w:tc>
          <w:tcPr>
            <w:tcW w:w="1394"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258</w:t>
            </w:r>
          </w:p>
        </w:tc>
        <w:tc>
          <w:tcPr>
            <w:tcW w:w="1499"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367</w:t>
            </w:r>
          </w:p>
        </w:tc>
        <w:tc>
          <w:tcPr>
            <w:tcW w:w="1500"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467</w:t>
            </w:r>
          </w:p>
        </w:tc>
        <w:tc>
          <w:tcPr>
            <w:tcW w:w="1500"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563</w:t>
            </w:r>
          </w:p>
        </w:tc>
      </w:tr>
      <w:tr w:rsidR="00202CE4" w:rsidRPr="00EF088D" w:rsidTr="00EF088D">
        <w:tc>
          <w:tcPr>
            <w:tcW w:w="1670" w:type="dxa"/>
            <w:shd w:val="clear" w:color="auto" w:fill="D0CECE"/>
          </w:tcPr>
          <w:p w:rsidR="00202CE4" w:rsidRPr="00727931" w:rsidRDefault="00202CE4" w:rsidP="00EF088D">
            <w:pPr>
              <w:spacing w:after="0" w:line="300" w:lineRule="exact"/>
              <w:rPr>
                <w:rFonts w:ascii="Arial" w:hAnsi="Arial" w:cs="Arial"/>
                <w:sz w:val="20"/>
                <w:szCs w:val="20"/>
                <w:lang w:val="fr-FR"/>
              </w:rPr>
            </w:pPr>
            <w:r w:rsidRPr="00727931">
              <w:rPr>
                <w:rFonts w:ascii="Arial" w:hAnsi="Arial" w:cs="Arial"/>
                <w:sz w:val="20"/>
                <w:szCs w:val="20"/>
                <w:lang w:val="fr-FR"/>
              </w:rPr>
              <w:t>Compte de capital (fortune)</w:t>
            </w:r>
          </w:p>
        </w:tc>
        <w:tc>
          <w:tcPr>
            <w:tcW w:w="1499"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1‘063</w:t>
            </w:r>
          </w:p>
        </w:tc>
        <w:tc>
          <w:tcPr>
            <w:tcW w:w="1394"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2‘103</w:t>
            </w:r>
          </w:p>
        </w:tc>
        <w:tc>
          <w:tcPr>
            <w:tcW w:w="1499"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3‘614</w:t>
            </w:r>
          </w:p>
        </w:tc>
        <w:tc>
          <w:tcPr>
            <w:tcW w:w="1500"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5‘620</w:t>
            </w:r>
          </w:p>
        </w:tc>
        <w:tc>
          <w:tcPr>
            <w:tcW w:w="1500" w:type="dxa"/>
          </w:tcPr>
          <w:p w:rsidR="00202CE4" w:rsidRPr="00EF088D" w:rsidRDefault="00202CE4" w:rsidP="00EF088D">
            <w:pPr>
              <w:spacing w:after="0" w:line="300" w:lineRule="exact"/>
              <w:rPr>
                <w:rFonts w:ascii="Arial" w:hAnsi="Arial" w:cs="Arial"/>
                <w:sz w:val="20"/>
                <w:szCs w:val="20"/>
              </w:rPr>
            </w:pPr>
            <w:r w:rsidRPr="00EF088D">
              <w:rPr>
                <w:rFonts w:ascii="Arial" w:hAnsi="Arial" w:cs="Arial"/>
                <w:sz w:val="20"/>
                <w:szCs w:val="20"/>
              </w:rPr>
              <w:t>7‘971</w:t>
            </w:r>
          </w:p>
        </w:tc>
      </w:tr>
    </w:tbl>
    <w:p w:rsidR="00202CE4" w:rsidRPr="002A0A56" w:rsidRDefault="00202CE4" w:rsidP="001D7E3A">
      <w:pPr>
        <w:spacing w:after="0" w:line="300" w:lineRule="exact"/>
        <w:rPr>
          <w:rFonts w:ascii="Arial" w:hAnsi="Arial" w:cs="Arial"/>
          <w:i/>
          <w:sz w:val="20"/>
          <w:szCs w:val="20"/>
          <w:lang w:val="fr-FR"/>
        </w:rPr>
      </w:pPr>
      <w:r w:rsidRPr="00E1180D">
        <w:rPr>
          <w:rFonts w:ascii="Arial" w:hAnsi="Arial" w:cs="Arial"/>
          <w:i/>
          <w:sz w:val="20"/>
          <w:szCs w:val="20"/>
          <w:lang w:val="fr-FR"/>
        </w:rPr>
        <w:t xml:space="preserve">Source: </w:t>
      </w:r>
      <w:r w:rsidRPr="002A0A56">
        <w:rPr>
          <w:rFonts w:ascii="Arial" w:hAnsi="Arial" w:cs="Arial"/>
          <w:i/>
          <w:sz w:val="20"/>
          <w:szCs w:val="20"/>
          <w:lang w:val="fr-FR"/>
        </w:rPr>
        <w:t>Vue d’ensemble des perspectives de financement des assurances sociales jusqu’en 2035. Rapport du Conseil fédéral novembre 2013.</w:t>
      </w:r>
    </w:p>
    <w:p w:rsidR="00202CE4" w:rsidRPr="00E56ED8" w:rsidRDefault="00202CE4" w:rsidP="001D7E3A">
      <w:pPr>
        <w:spacing w:after="0" w:line="300" w:lineRule="exact"/>
        <w:rPr>
          <w:rFonts w:ascii="Arial" w:hAnsi="Arial" w:cs="Arial"/>
          <w:b/>
          <w:sz w:val="20"/>
          <w:szCs w:val="20"/>
          <w:lang w:val="fr-FR"/>
        </w:rPr>
      </w:pPr>
      <w:r>
        <w:rPr>
          <w:rFonts w:ascii="Arial" w:hAnsi="Arial" w:cs="Arial"/>
          <w:b/>
          <w:sz w:val="20"/>
          <w:szCs w:val="20"/>
          <w:lang w:val="fr-FR"/>
        </w:rPr>
        <w:lastRenderedPageBreak/>
        <w:t>Pas d’</w:t>
      </w:r>
      <w:r w:rsidRPr="00E56ED8">
        <w:rPr>
          <w:rFonts w:ascii="Arial" w:hAnsi="Arial" w:cs="Arial"/>
          <w:b/>
          <w:sz w:val="20"/>
          <w:szCs w:val="20"/>
          <w:lang w:val="fr-FR"/>
        </w:rPr>
        <w:t>incidence</w:t>
      </w:r>
      <w:r>
        <w:rPr>
          <w:rFonts w:ascii="Arial" w:hAnsi="Arial" w:cs="Arial"/>
          <w:b/>
          <w:sz w:val="20"/>
          <w:szCs w:val="20"/>
          <w:lang w:val="fr-FR"/>
        </w:rPr>
        <w:t xml:space="preserve"> sur les cotisations salariales</w:t>
      </w:r>
    </w:p>
    <w:p w:rsidR="00202CE4" w:rsidRPr="00E56ED8" w:rsidRDefault="00202CE4" w:rsidP="001D7E3A">
      <w:pPr>
        <w:spacing w:after="0" w:line="300" w:lineRule="exact"/>
        <w:rPr>
          <w:rFonts w:ascii="Arial" w:hAnsi="Arial" w:cs="Arial"/>
          <w:sz w:val="20"/>
          <w:szCs w:val="20"/>
          <w:lang w:val="fr-FR"/>
        </w:rPr>
      </w:pPr>
    </w:p>
    <w:p w:rsidR="00202CE4" w:rsidRPr="00755E92" w:rsidRDefault="00202CE4" w:rsidP="001D7E3A">
      <w:pPr>
        <w:spacing w:after="0" w:line="300" w:lineRule="exact"/>
        <w:rPr>
          <w:rFonts w:ascii="Arial" w:hAnsi="Arial" w:cs="Arial"/>
          <w:sz w:val="20"/>
          <w:szCs w:val="20"/>
          <w:lang w:val="fr-FR"/>
        </w:rPr>
      </w:pPr>
      <w:r w:rsidRPr="00546B69">
        <w:rPr>
          <w:rFonts w:ascii="Arial" w:hAnsi="Arial" w:cs="Arial"/>
          <w:sz w:val="20"/>
          <w:szCs w:val="20"/>
          <w:lang w:val="fr-FR"/>
        </w:rPr>
        <w:t>D’ici à 2035, le Conseil fédéral</w:t>
      </w:r>
      <w:r>
        <w:rPr>
          <w:rFonts w:ascii="Arial" w:hAnsi="Arial" w:cs="Arial"/>
          <w:sz w:val="20"/>
          <w:szCs w:val="20"/>
          <w:lang w:val="fr-FR"/>
        </w:rPr>
        <w:t xml:space="preserve"> table sur une hausse </w:t>
      </w:r>
      <w:r w:rsidRPr="00546B69">
        <w:rPr>
          <w:rFonts w:ascii="Arial" w:hAnsi="Arial" w:cs="Arial"/>
          <w:sz w:val="20"/>
          <w:szCs w:val="20"/>
          <w:lang w:val="fr-FR"/>
        </w:rPr>
        <w:t xml:space="preserve">des </w:t>
      </w:r>
      <w:r>
        <w:rPr>
          <w:rFonts w:ascii="Arial" w:hAnsi="Arial" w:cs="Arial"/>
          <w:sz w:val="20"/>
          <w:szCs w:val="20"/>
          <w:lang w:val="fr-FR"/>
        </w:rPr>
        <w:t xml:space="preserve">résultats </w:t>
      </w:r>
      <w:r w:rsidRPr="00546B69">
        <w:rPr>
          <w:rFonts w:ascii="Arial" w:hAnsi="Arial" w:cs="Arial"/>
          <w:sz w:val="20"/>
          <w:szCs w:val="20"/>
          <w:lang w:val="fr-FR"/>
        </w:rPr>
        <w:t>de placements (</w:t>
      </w:r>
      <w:r>
        <w:rPr>
          <w:rFonts w:ascii="Arial" w:hAnsi="Arial" w:cs="Arial"/>
          <w:sz w:val="20"/>
          <w:szCs w:val="20"/>
          <w:lang w:val="fr-FR"/>
        </w:rPr>
        <w:t>produit sans les investissements sur la fortune</w:t>
      </w:r>
      <w:r w:rsidRPr="00C06009">
        <w:rPr>
          <w:rFonts w:ascii="Arial" w:hAnsi="Arial" w:cs="Arial"/>
          <w:sz w:val="20"/>
          <w:szCs w:val="20"/>
          <w:lang w:val="fr-FR"/>
        </w:rPr>
        <w:t xml:space="preserve">). </w:t>
      </w:r>
      <w:r w:rsidRPr="00222E38">
        <w:rPr>
          <w:rFonts w:ascii="Arial" w:hAnsi="Arial" w:cs="Arial"/>
          <w:sz w:val="20"/>
          <w:szCs w:val="20"/>
          <w:lang w:val="fr-FR"/>
        </w:rPr>
        <w:t>De ce fait, la fortune prévue des APG augmentera nettement, elle aussi. La raison réside dans l’évolution en baisse de</w:t>
      </w:r>
      <w:r>
        <w:rPr>
          <w:rFonts w:ascii="Arial" w:hAnsi="Arial" w:cs="Arial"/>
          <w:sz w:val="20"/>
          <w:szCs w:val="20"/>
          <w:lang w:val="fr-FR"/>
        </w:rPr>
        <w:t xml:space="preserve"> la durée </w:t>
      </w:r>
      <w:r w:rsidRPr="00222E38">
        <w:rPr>
          <w:rFonts w:ascii="Arial" w:hAnsi="Arial" w:cs="Arial"/>
          <w:sz w:val="20"/>
          <w:szCs w:val="20"/>
          <w:lang w:val="fr-FR"/>
        </w:rPr>
        <w:t>d</w:t>
      </w:r>
      <w:r>
        <w:rPr>
          <w:rFonts w:ascii="Arial" w:hAnsi="Arial" w:cs="Arial"/>
          <w:sz w:val="20"/>
          <w:szCs w:val="20"/>
          <w:lang w:val="fr-FR"/>
        </w:rPr>
        <w:t>u</w:t>
      </w:r>
      <w:r w:rsidRPr="00222E38">
        <w:rPr>
          <w:rFonts w:ascii="Arial" w:hAnsi="Arial" w:cs="Arial"/>
          <w:sz w:val="20"/>
          <w:szCs w:val="20"/>
          <w:lang w:val="fr-FR"/>
        </w:rPr>
        <w:t xml:space="preserve"> service militaire, financé par les APG. </w:t>
      </w:r>
      <w:r w:rsidRPr="00755E92">
        <w:rPr>
          <w:rFonts w:ascii="Arial" w:hAnsi="Arial" w:cs="Arial"/>
          <w:sz w:val="20"/>
          <w:szCs w:val="20"/>
          <w:lang w:val="fr-FR"/>
        </w:rPr>
        <w:t>Le nombre de</w:t>
      </w:r>
      <w:r>
        <w:rPr>
          <w:rFonts w:ascii="Arial" w:hAnsi="Arial" w:cs="Arial"/>
          <w:sz w:val="20"/>
          <w:szCs w:val="20"/>
          <w:lang w:val="fr-FR"/>
        </w:rPr>
        <w:t>s</w:t>
      </w:r>
      <w:r w:rsidRPr="00755E92">
        <w:rPr>
          <w:rFonts w:ascii="Arial" w:hAnsi="Arial" w:cs="Arial"/>
          <w:sz w:val="20"/>
          <w:szCs w:val="20"/>
          <w:lang w:val="fr-FR"/>
        </w:rPr>
        <w:t xml:space="preserve"> bénéficiaires APG de l’Armée a baissé </w:t>
      </w:r>
      <w:r w:rsidRPr="00C64BF5">
        <w:rPr>
          <w:rFonts w:ascii="Arial" w:hAnsi="Arial" w:cs="Arial"/>
          <w:sz w:val="20"/>
          <w:szCs w:val="20"/>
          <w:lang w:val="fr-FR"/>
        </w:rPr>
        <w:t xml:space="preserve">en </w:t>
      </w:r>
      <w:r w:rsidR="00C64BF5" w:rsidRPr="00C64BF5">
        <w:rPr>
          <w:rFonts w:ascii="Arial" w:hAnsi="Arial" w:cs="Arial"/>
          <w:sz w:val="20"/>
          <w:szCs w:val="20"/>
          <w:lang w:val="fr-FR"/>
        </w:rPr>
        <w:t>six</w:t>
      </w:r>
      <w:r w:rsidRPr="00C64BF5">
        <w:rPr>
          <w:rFonts w:ascii="Arial" w:hAnsi="Arial" w:cs="Arial"/>
          <w:sz w:val="20"/>
          <w:szCs w:val="20"/>
          <w:lang w:val="fr-FR"/>
        </w:rPr>
        <w:t xml:space="preserve"> ans,</w:t>
      </w:r>
      <w:r w:rsidRPr="00755E92">
        <w:rPr>
          <w:rFonts w:ascii="Arial" w:hAnsi="Arial" w:cs="Arial"/>
          <w:sz w:val="20"/>
          <w:szCs w:val="20"/>
          <w:lang w:val="fr-FR"/>
        </w:rPr>
        <w:t xml:space="preserve"> passant d’environ 175‘000 (en 2008) à environ 138‘000 (en 2013). </w:t>
      </w:r>
      <w:r w:rsidRPr="00E85F8E">
        <w:rPr>
          <w:rFonts w:ascii="Arial" w:hAnsi="Arial" w:cs="Arial"/>
          <w:sz w:val="20"/>
          <w:szCs w:val="20"/>
          <w:lang w:val="fr-FR"/>
        </w:rPr>
        <w:t>Ces chiffres montrent à l’évidence</w:t>
      </w:r>
      <w:r>
        <w:rPr>
          <w:rFonts w:ascii="Arial" w:hAnsi="Arial" w:cs="Arial"/>
          <w:sz w:val="20"/>
          <w:szCs w:val="20"/>
          <w:lang w:val="fr-FR"/>
        </w:rPr>
        <w:t xml:space="preserve"> qu’</w:t>
      </w:r>
      <w:r w:rsidRPr="00E85F8E">
        <w:rPr>
          <w:rFonts w:ascii="Arial" w:hAnsi="Arial" w:cs="Arial"/>
          <w:sz w:val="20"/>
          <w:szCs w:val="20"/>
          <w:lang w:val="fr-FR"/>
        </w:rPr>
        <w:t xml:space="preserve">il ne sera pas nécessaire de relever les cotisations salariales. </w:t>
      </w:r>
      <w:r w:rsidRPr="00755E92">
        <w:rPr>
          <w:rFonts w:ascii="Arial" w:hAnsi="Arial" w:cs="Arial"/>
          <w:sz w:val="20"/>
          <w:szCs w:val="20"/>
          <w:lang w:val="fr-FR"/>
        </w:rPr>
        <w:t xml:space="preserve">En 2020 déjà, l’excédent des APG devrait être nettement supérieur - avec </w:t>
      </w:r>
      <w:r>
        <w:rPr>
          <w:rFonts w:ascii="Arial" w:hAnsi="Arial" w:cs="Arial"/>
          <w:sz w:val="20"/>
          <w:szCs w:val="20"/>
          <w:lang w:val="fr-FR"/>
        </w:rPr>
        <w:t>l</w:t>
      </w:r>
      <w:r w:rsidRPr="00755E92">
        <w:rPr>
          <w:rFonts w:ascii="Arial" w:hAnsi="Arial" w:cs="Arial"/>
          <w:sz w:val="20"/>
          <w:szCs w:val="20"/>
          <w:lang w:val="fr-FR"/>
        </w:rPr>
        <w:t xml:space="preserve">es </w:t>
      </w:r>
      <w:r>
        <w:rPr>
          <w:rFonts w:ascii="Arial" w:hAnsi="Arial" w:cs="Arial"/>
          <w:sz w:val="20"/>
          <w:szCs w:val="20"/>
          <w:lang w:val="fr-FR"/>
        </w:rPr>
        <w:t xml:space="preserve">mêmes </w:t>
      </w:r>
      <w:r w:rsidRPr="00755E92">
        <w:rPr>
          <w:rFonts w:ascii="Arial" w:hAnsi="Arial" w:cs="Arial"/>
          <w:sz w:val="20"/>
          <w:szCs w:val="20"/>
          <w:lang w:val="fr-FR"/>
        </w:rPr>
        <w:t>cotisations - aux coûts prévus d’un con</w:t>
      </w:r>
      <w:r>
        <w:rPr>
          <w:rFonts w:ascii="Arial" w:hAnsi="Arial" w:cs="Arial"/>
          <w:sz w:val="20"/>
          <w:szCs w:val="20"/>
          <w:lang w:val="fr-FR"/>
        </w:rPr>
        <w:t>gé-paternité de deux semaines</w:t>
      </w:r>
      <w:r w:rsidRPr="00755E92">
        <w:rPr>
          <w:rFonts w:ascii="Arial" w:hAnsi="Arial" w:cs="Arial"/>
          <w:sz w:val="20"/>
          <w:szCs w:val="20"/>
          <w:lang w:val="fr-FR"/>
        </w:rPr>
        <w:t xml:space="preserve">. Et au moment de son introduction, les APG auront encore des réserves. </w:t>
      </w:r>
      <w:r>
        <w:rPr>
          <w:rFonts w:ascii="Arial" w:hAnsi="Arial" w:cs="Arial"/>
          <w:sz w:val="20"/>
          <w:szCs w:val="20"/>
          <w:lang w:val="fr-FR"/>
        </w:rPr>
        <w:t>La seule condition étant toutefois que le taux de cotisation,</w:t>
      </w:r>
      <w:r w:rsidRPr="00755E92">
        <w:rPr>
          <w:rFonts w:ascii="Arial" w:hAnsi="Arial" w:cs="Arial"/>
          <w:sz w:val="20"/>
          <w:szCs w:val="20"/>
          <w:lang w:val="fr-FR"/>
        </w:rPr>
        <w:t xml:space="preserve"> </w:t>
      </w:r>
      <w:r>
        <w:rPr>
          <w:rFonts w:ascii="Arial" w:hAnsi="Arial" w:cs="Arial"/>
          <w:sz w:val="20"/>
          <w:szCs w:val="20"/>
          <w:lang w:val="fr-FR"/>
        </w:rPr>
        <w:t>de durée limitée aujourd’hui et fixé à 0,5 pour cent du salaire, ne change pas</w:t>
      </w:r>
      <w:r w:rsidRPr="00755E92">
        <w:rPr>
          <w:rFonts w:ascii="Arial" w:hAnsi="Arial" w:cs="Arial"/>
          <w:sz w:val="20"/>
          <w:szCs w:val="20"/>
          <w:lang w:val="fr-FR"/>
        </w:rPr>
        <w:t>.</w:t>
      </w:r>
    </w:p>
    <w:p w:rsidR="00202CE4" w:rsidRPr="00755E92" w:rsidRDefault="00202CE4" w:rsidP="001D7E3A">
      <w:pPr>
        <w:spacing w:after="0" w:line="300" w:lineRule="exact"/>
        <w:rPr>
          <w:rFonts w:ascii="Arial" w:hAnsi="Arial" w:cs="Arial"/>
          <w:b/>
          <w:sz w:val="20"/>
          <w:szCs w:val="20"/>
          <w:lang w:val="fr-FR"/>
        </w:rPr>
      </w:pPr>
    </w:p>
    <w:p w:rsidR="00202CE4" w:rsidRPr="00C005BF" w:rsidRDefault="00202CE4" w:rsidP="001D7E3A">
      <w:pPr>
        <w:spacing w:after="0" w:line="300" w:lineRule="exact"/>
        <w:rPr>
          <w:rFonts w:ascii="Arial" w:hAnsi="Arial" w:cs="Arial"/>
          <w:sz w:val="20"/>
          <w:szCs w:val="20"/>
          <w:lang w:val="fr-FR"/>
        </w:rPr>
      </w:pPr>
      <w:r>
        <w:rPr>
          <w:rFonts w:ascii="Arial" w:hAnsi="Arial" w:cs="Arial"/>
          <w:sz w:val="20"/>
          <w:szCs w:val="20"/>
          <w:lang w:val="fr-FR"/>
        </w:rPr>
        <w:t xml:space="preserve">Cet </w:t>
      </w:r>
      <w:r w:rsidRPr="00C005BF">
        <w:rPr>
          <w:rFonts w:ascii="Arial" w:hAnsi="Arial" w:cs="Arial"/>
          <w:sz w:val="20"/>
          <w:szCs w:val="20"/>
          <w:lang w:val="fr-FR"/>
        </w:rPr>
        <w:t xml:space="preserve">investissement tout à fait </w:t>
      </w:r>
      <w:r>
        <w:rPr>
          <w:rFonts w:ascii="Arial" w:hAnsi="Arial" w:cs="Arial"/>
          <w:sz w:val="20"/>
          <w:szCs w:val="20"/>
          <w:lang w:val="fr-FR"/>
        </w:rPr>
        <w:t>réalisable</w:t>
      </w:r>
      <w:r w:rsidRPr="00C005BF">
        <w:rPr>
          <w:rFonts w:ascii="Arial" w:hAnsi="Arial" w:cs="Arial"/>
          <w:sz w:val="20"/>
          <w:szCs w:val="20"/>
          <w:lang w:val="fr-FR"/>
        </w:rPr>
        <w:t xml:space="preserve"> </w:t>
      </w:r>
      <w:r>
        <w:rPr>
          <w:rFonts w:ascii="Arial" w:hAnsi="Arial" w:cs="Arial"/>
          <w:sz w:val="20"/>
          <w:szCs w:val="20"/>
          <w:lang w:val="fr-FR"/>
        </w:rPr>
        <w:t>est assorti de multiples avantages</w:t>
      </w:r>
      <w:r w:rsidRPr="00C005BF">
        <w:rPr>
          <w:rFonts w:ascii="Arial" w:hAnsi="Arial" w:cs="Arial"/>
          <w:sz w:val="20"/>
          <w:szCs w:val="20"/>
          <w:lang w:val="fr-FR"/>
        </w:rPr>
        <w:t>:</w:t>
      </w:r>
    </w:p>
    <w:p w:rsidR="00202CE4" w:rsidRPr="00C005BF" w:rsidRDefault="00202CE4" w:rsidP="001D7E3A">
      <w:pPr>
        <w:spacing w:after="0" w:line="300" w:lineRule="exact"/>
        <w:rPr>
          <w:rFonts w:ascii="Arial" w:hAnsi="Arial" w:cs="Arial"/>
          <w:b/>
          <w:sz w:val="20"/>
          <w:szCs w:val="20"/>
          <w:lang w:val="fr-FR"/>
        </w:rPr>
      </w:pPr>
    </w:p>
    <w:p w:rsidR="00202CE4" w:rsidRPr="00A07F4C" w:rsidRDefault="00202CE4" w:rsidP="00412D85">
      <w:pPr>
        <w:spacing w:after="0" w:line="300" w:lineRule="exact"/>
        <w:rPr>
          <w:rFonts w:ascii="Arial" w:hAnsi="Arial" w:cs="Arial"/>
          <w:sz w:val="20"/>
          <w:szCs w:val="20"/>
          <w:lang w:val="fr-FR"/>
        </w:rPr>
      </w:pPr>
      <w:r w:rsidRPr="008E7A1A">
        <w:rPr>
          <w:rFonts w:ascii="Arial" w:hAnsi="Arial" w:cs="Arial"/>
          <w:b/>
          <w:sz w:val="20"/>
          <w:szCs w:val="20"/>
          <w:lang w:val="fr-FR"/>
        </w:rPr>
        <w:t xml:space="preserve">Avantages pour les familles: </w:t>
      </w:r>
      <w:r w:rsidRPr="008E7A1A">
        <w:rPr>
          <w:rFonts w:ascii="Arial" w:hAnsi="Arial" w:cs="Arial"/>
          <w:sz w:val="20"/>
          <w:szCs w:val="20"/>
          <w:lang w:val="fr-FR"/>
        </w:rPr>
        <w:t>aujourd’hui,</w:t>
      </w:r>
      <w:r w:rsidRPr="008E7A1A">
        <w:rPr>
          <w:rFonts w:ascii="Arial" w:hAnsi="Arial" w:cs="Arial"/>
          <w:b/>
          <w:sz w:val="20"/>
          <w:szCs w:val="20"/>
          <w:lang w:val="fr-FR"/>
        </w:rPr>
        <w:t xml:space="preserve"> </w:t>
      </w:r>
      <w:r w:rsidRPr="008E7A1A">
        <w:rPr>
          <w:rFonts w:ascii="Arial" w:hAnsi="Arial" w:cs="Arial"/>
          <w:sz w:val="20"/>
          <w:szCs w:val="20"/>
          <w:lang w:val="fr-FR"/>
        </w:rPr>
        <w:t>la majorité des parents</w:t>
      </w:r>
      <w:r>
        <w:rPr>
          <w:rFonts w:ascii="Arial" w:hAnsi="Arial" w:cs="Arial"/>
          <w:sz w:val="20"/>
          <w:szCs w:val="20"/>
          <w:lang w:val="fr-FR"/>
        </w:rPr>
        <w:t xml:space="preserve"> pensent que</w:t>
      </w:r>
      <w:r w:rsidRPr="008E7A1A">
        <w:rPr>
          <w:rFonts w:ascii="Arial" w:hAnsi="Arial" w:cs="Arial"/>
          <w:sz w:val="20"/>
          <w:szCs w:val="20"/>
          <w:lang w:val="fr-FR"/>
        </w:rPr>
        <w:t xml:space="preserve"> la présence du père</w:t>
      </w:r>
      <w:r w:rsidRPr="008E7A1A">
        <w:rPr>
          <w:rFonts w:ascii="Arial" w:hAnsi="Arial" w:cs="Arial"/>
          <w:b/>
          <w:sz w:val="20"/>
          <w:szCs w:val="20"/>
          <w:lang w:val="fr-FR"/>
        </w:rPr>
        <w:t xml:space="preserve"> </w:t>
      </w:r>
      <w:r w:rsidRPr="008E7A1A">
        <w:rPr>
          <w:rFonts w:ascii="Arial" w:hAnsi="Arial" w:cs="Arial"/>
          <w:sz w:val="20"/>
          <w:szCs w:val="20"/>
          <w:lang w:val="fr-FR"/>
        </w:rPr>
        <w:t xml:space="preserve">après la naissance d’un enfant est indispensable pour un bon départ dans la vie familiale. C’est pourquoi les deux parents ont besoin d’une pause dans leur activité professionnelle. Les pères eux-mêmes veulent assumer leur responsabilité et voient dans un congé-paternité un élément essentiel d’une politique familiale moderne. </w:t>
      </w:r>
      <w:r w:rsidRPr="00A07F4C">
        <w:rPr>
          <w:rFonts w:ascii="Arial" w:hAnsi="Arial" w:cs="Arial"/>
          <w:sz w:val="20"/>
          <w:szCs w:val="20"/>
          <w:lang w:val="fr-FR"/>
        </w:rPr>
        <w:t xml:space="preserve">Un congé-paternité payé </w:t>
      </w:r>
      <w:r>
        <w:rPr>
          <w:rFonts w:ascii="Arial" w:hAnsi="Arial" w:cs="Arial"/>
          <w:sz w:val="20"/>
          <w:szCs w:val="20"/>
          <w:lang w:val="fr-FR"/>
        </w:rPr>
        <w:t xml:space="preserve">constitue </w:t>
      </w:r>
      <w:r w:rsidRPr="00A07F4C">
        <w:rPr>
          <w:rFonts w:ascii="Arial" w:hAnsi="Arial" w:cs="Arial"/>
          <w:sz w:val="20"/>
          <w:szCs w:val="20"/>
          <w:lang w:val="fr-FR"/>
        </w:rPr>
        <w:t xml:space="preserve">une reconnaissance de leur engagement. </w:t>
      </w:r>
    </w:p>
    <w:p w:rsidR="00202CE4" w:rsidRPr="00A07F4C" w:rsidRDefault="00202CE4" w:rsidP="00412D85">
      <w:pPr>
        <w:spacing w:after="0" w:line="300" w:lineRule="exact"/>
        <w:rPr>
          <w:rFonts w:ascii="Arial" w:hAnsi="Arial" w:cs="Arial"/>
          <w:b/>
          <w:sz w:val="20"/>
          <w:szCs w:val="20"/>
          <w:lang w:val="fr-FR"/>
        </w:rPr>
      </w:pPr>
    </w:p>
    <w:p w:rsidR="00202CE4" w:rsidRPr="008E7A1A" w:rsidRDefault="00202CE4" w:rsidP="00412D85">
      <w:pPr>
        <w:spacing w:after="0" w:line="300" w:lineRule="exact"/>
        <w:rPr>
          <w:rFonts w:ascii="Arial" w:hAnsi="Arial" w:cs="Arial"/>
          <w:sz w:val="20"/>
          <w:szCs w:val="20"/>
          <w:lang w:val="fr-FR"/>
        </w:rPr>
      </w:pPr>
      <w:r w:rsidRPr="00162BC1">
        <w:rPr>
          <w:rFonts w:ascii="Arial" w:hAnsi="Arial" w:cs="Arial"/>
          <w:b/>
          <w:sz w:val="20"/>
          <w:szCs w:val="20"/>
          <w:lang w:val="fr-FR"/>
        </w:rPr>
        <w:t xml:space="preserve">Avantages pour les entreprises, en particulier pour les PME: </w:t>
      </w:r>
      <w:r w:rsidRPr="00162BC1">
        <w:rPr>
          <w:rFonts w:ascii="Arial" w:hAnsi="Arial" w:cs="Arial"/>
          <w:sz w:val="20"/>
          <w:szCs w:val="20"/>
          <w:lang w:val="fr-FR"/>
        </w:rPr>
        <w:t>le fait d’accorder ou non un congé-paternité aux employés</w:t>
      </w:r>
      <w:r>
        <w:rPr>
          <w:rFonts w:ascii="Arial" w:hAnsi="Arial" w:cs="Arial"/>
          <w:sz w:val="20"/>
          <w:szCs w:val="20"/>
          <w:lang w:val="fr-FR"/>
        </w:rPr>
        <w:t xml:space="preserve"> est laissé actuellement à l’appréciation</w:t>
      </w:r>
      <w:r w:rsidRPr="00162BC1">
        <w:rPr>
          <w:rFonts w:ascii="Arial" w:hAnsi="Arial" w:cs="Arial"/>
          <w:sz w:val="20"/>
          <w:szCs w:val="20"/>
          <w:lang w:val="fr-FR"/>
        </w:rPr>
        <w:t xml:space="preserve"> des employeurs. L</w:t>
      </w:r>
      <w:r w:rsidRPr="008E7A1A">
        <w:rPr>
          <w:rFonts w:ascii="Arial" w:hAnsi="Arial" w:cs="Arial"/>
          <w:sz w:val="20"/>
          <w:szCs w:val="20"/>
          <w:lang w:val="fr-FR"/>
        </w:rPr>
        <w:t xml:space="preserve">es grandes </w:t>
      </w:r>
      <w:r>
        <w:rPr>
          <w:rFonts w:ascii="Arial" w:hAnsi="Arial" w:cs="Arial"/>
          <w:sz w:val="20"/>
          <w:szCs w:val="20"/>
          <w:lang w:val="fr-FR"/>
        </w:rPr>
        <w:t xml:space="preserve">entreprises </w:t>
      </w:r>
      <w:r w:rsidRPr="008E7A1A">
        <w:rPr>
          <w:rFonts w:ascii="Arial" w:hAnsi="Arial" w:cs="Arial"/>
          <w:sz w:val="20"/>
          <w:szCs w:val="20"/>
          <w:lang w:val="fr-FR"/>
        </w:rPr>
        <w:t>peuvent être plus généreuses</w:t>
      </w:r>
      <w:r>
        <w:rPr>
          <w:rFonts w:ascii="Arial" w:hAnsi="Arial" w:cs="Arial"/>
          <w:sz w:val="20"/>
          <w:szCs w:val="20"/>
          <w:lang w:val="fr-FR"/>
        </w:rPr>
        <w:t xml:space="preserve"> d</w:t>
      </w:r>
      <w:r w:rsidRPr="008E7A1A">
        <w:rPr>
          <w:rFonts w:ascii="Arial" w:hAnsi="Arial" w:cs="Arial"/>
          <w:sz w:val="20"/>
          <w:szCs w:val="20"/>
          <w:lang w:val="fr-FR"/>
        </w:rPr>
        <w:t>ans ce domaine,</w:t>
      </w:r>
      <w:r>
        <w:rPr>
          <w:rFonts w:ascii="Arial" w:hAnsi="Arial" w:cs="Arial"/>
          <w:sz w:val="20"/>
          <w:szCs w:val="20"/>
          <w:lang w:val="fr-FR"/>
        </w:rPr>
        <w:t xml:space="preserve"> </w:t>
      </w:r>
      <w:r w:rsidRPr="008E7A1A">
        <w:rPr>
          <w:rFonts w:ascii="Arial" w:hAnsi="Arial" w:cs="Arial"/>
          <w:sz w:val="20"/>
          <w:szCs w:val="20"/>
          <w:lang w:val="fr-FR"/>
        </w:rPr>
        <w:t xml:space="preserve">en raison de leurs </w:t>
      </w:r>
      <w:r>
        <w:rPr>
          <w:rFonts w:ascii="Arial" w:hAnsi="Arial" w:cs="Arial"/>
          <w:sz w:val="20"/>
          <w:szCs w:val="20"/>
          <w:lang w:val="fr-FR"/>
        </w:rPr>
        <w:t>moyens financiers</w:t>
      </w:r>
      <w:r w:rsidRPr="008E7A1A">
        <w:rPr>
          <w:rFonts w:ascii="Arial" w:hAnsi="Arial" w:cs="Arial"/>
          <w:sz w:val="20"/>
          <w:szCs w:val="20"/>
          <w:lang w:val="fr-FR"/>
        </w:rPr>
        <w:t xml:space="preserve">. </w:t>
      </w:r>
      <w:r>
        <w:rPr>
          <w:rFonts w:ascii="Arial" w:hAnsi="Arial" w:cs="Arial"/>
          <w:sz w:val="20"/>
          <w:szCs w:val="20"/>
          <w:lang w:val="fr-FR"/>
        </w:rPr>
        <w:t>Actuellement, e</w:t>
      </w:r>
      <w:r w:rsidRPr="008E7A1A">
        <w:rPr>
          <w:rFonts w:ascii="Arial" w:hAnsi="Arial" w:cs="Arial"/>
          <w:sz w:val="20"/>
          <w:szCs w:val="20"/>
          <w:lang w:val="fr-FR"/>
        </w:rPr>
        <w:t xml:space="preserve">lles accordent déjà des congés-paternité de 10 à 20 jours, aux frais de l’employeur. </w:t>
      </w:r>
      <w:r>
        <w:rPr>
          <w:rFonts w:ascii="Arial" w:hAnsi="Arial" w:cs="Arial"/>
          <w:sz w:val="20"/>
          <w:szCs w:val="20"/>
          <w:lang w:val="fr-FR"/>
        </w:rPr>
        <w:t xml:space="preserve">La </w:t>
      </w:r>
      <w:r w:rsidRPr="008E7A1A">
        <w:rPr>
          <w:rFonts w:ascii="Arial" w:hAnsi="Arial" w:cs="Arial"/>
          <w:sz w:val="20"/>
          <w:szCs w:val="20"/>
          <w:lang w:val="fr-FR"/>
        </w:rPr>
        <w:t xml:space="preserve">solution qui passerait par l’assurance sociale des APG permettrait à toutes les personnes actives et </w:t>
      </w:r>
      <w:r>
        <w:rPr>
          <w:rFonts w:ascii="Arial" w:hAnsi="Arial" w:cs="Arial"/>
          <w:sz w:val="20"/>
          <w:szCs w:val="20"/>
          <w:lang w:val="fr-FR"/>
        </w:rPr>
        <w:t>aux</w:t>
      </w:r>
      <w:r w:rsidRPr="008E7A1A">
        <w:rPr>
          <w:rFonts w:ascii="Arial" w:hAnsi="Arial" w:cs="Arial"/>
          <w:sz w:val="20"/>
          <w:szCs w:val="20"/>
          <w:lang w:val="fr-FR"/>
        </w:rPr>
        <w:t xml:space="preserve"> employeurs </w:t>
      </w:r>
      <w:r>
        <w:rPr>
          <w:rFonts w:ascii="Arial" w:hAnsi="Arial" w:cs="Arial"/>
          <w:sz w:val="20"/>
          <w:szCs w:val="20"/>
          <w:lang w:val="fr-FR"/>
        </w:rPr>
        <w:t xml:space="preserve">de </w:t>
      </w:r>
      <w:r w:rsidRPr="008E7A1A">
        <w:rPr>
          <w:rFonts w:ascii="Arial" w:hAnsi="Arial" w:cs="Arial"/>
          <w:sz w:val="20"/>
          <w:szCs w:val="20"/>
          <w:lang w:val="fr-FR"/>
        </w:rPr>
        <w:t xml:space="preserve">financer solidairement le congé-paternité, </w:t>
      </w:r>
      <w:r>
        <w:rPr>
          <w:rFonts w:ascii="Arial" w:hAnsi="Arial" w:cs="Arial"/>
          <w:sz w:val="20"/>
          <w:szCs w:val="20"/>
          <w:lang w:val="fr-FR"/>
        </w:rPr>
        <w:t xml:space="preserve">ce qui le rendrait </w:t>
      </w:r>
      <w:r w:rsidRPr="008E7A1A">
        <w:rPr>
          <w:rFonts w:ascii="Arial" w:hAnsi="Arial" w:cs="Arial"/>
          <w:sz w:val="20"/>
          <w:szCs w:val="20"/>
          <w:lang w:val="fr-FR"/>
        </w:rPr>
        <w:t>a</w:t>
      </w:r>
      <w:r>
        <w:rPr>
          <w:rFonts w:ascii="Arial" w:hAnsi="Arial" w:cs="Arial"/>
          <w:sz w:val="20"/>
          <w:szCs w:val="20"/>
          <w:lang w:val="fr-FR"/>
        </w:rPr>
        <w:t xml:space="preserve">lors </w:t>
      </w:r>
      <w:r w:rsidRPr="008E7A1A">
        <w:rPr>
          <w:rFonts w:ascii="Arial" w:hAnsi="Arial" w:cs="Arial"/>
          <w:sz w:val="20"/>
          <w:szCs w:val="20"/>
          <w:lang w:val="fr-FR"/>
        </w:rPr>
        <w:t xml:space="preserve">possible aussi pour les PME et leurs employés. </w:t>
      </w:r>
    </w:p>
    <w:p w:rsidR="00202CE4" w:rsidRPr="008E7A1A" w:rsidRDefault="00202CE4" w:rsidP="00412D85">
      <w:pPr>
        <w:spacing w:after="0" w:line="300" w:lineRule="exact"/>
        <w:rPr>
          <w:rFonts w:ascii="Arial" w:hAnsi="Arial" w:cs="Arial"/>
          <w:b/>
          <w:sz w:val="20"/>
          <w:szCs w:val="20"/>
          <w:lang w:val="fr-FR"/>
        </w:rPr>
      </w:pPr>
    </w:p>
    <w:p w:rsidR="00202CE4" w:rsidRPr="00A07F4C" w:rsidRDefault="00202CE4" w:rsidP="00412D85">
      <w:pPr>
        <w:spacing w:after="0" w:line="300" w:lineRule="exact"/>
        <w:rPr>
          <w:rFonts w:ascii="Arial" w:hAnsi="Arial" w:cs="Arial"/>
          <w:sz w:val="20"/>
          <w:szCs w:val="20"/>
          <w:lang w:val="fr-FR"/>
        </w:rPr>
      </w:pPr>
      <w:r w:rsidRPr="00A07F4C">
        <w:rPr>
          <w:rFonts w:ascii="Arial" w:hAnsi="Arial" w:cs="Arial"/>
          <w:b/>
          <w:sz w:val="20"/>
          <w:szCs w:val="20"/>
          <w:lang w:val="fr-FR"/>
        </w:rPr>
        <w:t xml:space="preserve">Avantages pour la société: </w:t>
      </w:r>
      <w:r w:rsidRPr="00162BC1">
        <w:rPr>
          <w:rFonts w:ascii="Arial" w:hAnsi="Arial" w:cs="Arial"/>
          <w:sz w:val="20"/>
          <w:szCs w:val="20"/>
          <w:lang w:val="fr-FR"/>
        </w:rPr>
        <w:t>l</w:t>
      </w:r>
      <w:r>
        <w:rPr>
          <w:rFonts w:ascii="Arial" w:hAnsi="Arial" w:cs="Arial"/>
          <w:sz w:val="20"/>
          <w:szCs w:val="20"/>
          <w:lang w:val="fr-FR"/>
        </w:rPr>
        <w:t xml:space="preserve">’implication des pères </w:t>
      </w:r>
      <w:r w:rsidRPr="008E7A1A">
        <w:rPr>
          <w:rFonts w:ascii="Arial" w:hAnsi="Arial" w:cs="Arial"/>
          <w:sz w:val="20"/>
          <w:szCs w:val="20"/>
          <w:lang w:val="fr-FR"/>
        </w:rPr>
        <w:t>dans les activités familiales dès la naissance de leur enfant</w:t>
      </w:r>
      <w:r w:rsidRPr="00A07F4C">
        <w:rPr>
          <w:rFonts w:ascii="Arial" w:hAnsi="Arial" w:cs="Arial"/>
          <w:sz w:val="20"/>
          <w:szCs w:val="20"/>
          <w:lang w:val="fr-FR"/>
        </w:rPr>
        <w:t xml:space="preserve"> contribue grandement à créer des relations familiales stables et </w:t>
      </w:r>
      <w:r>
        <w:rPr>
          <w:rFonts w:ascii="Arial" w:hAnsi="Arial" w:cs="Arial"/>
          <w:sz w:val="20"/>
          <w:szCs w:val="20"/>
          <w:lang w:val="fr-FR"/>
        </w:rPr>
        <w:t>solides</w:t>
      </w:r>
      <w:r w:rsidRPr="00A07F4C">
        <w:rPr>
          <w:rFonts w:ascii="Arial" w:hAnsi="Arial" w:cs="Arial"/>
          <w:sz w:val="20"/>
          <w:szCs w:val="20"/>
          <w:lang w:val="fr-FR"/>
        </w:rPr>
        <w:t xml:space="preserve">. De plus, si les mères </w:t>
      </w:r>
      <w:r>
        <w:rPr>
          <w:rFonts w:ascii="Arial" w:hAnsi="Arial" w:cs="Arial"/>
          <w:sz w:val="20"/>
          <w:szCs w:val="20"/>
          <w:lang w:val="fr-FR"/>
        </w:rPr>
        <w:t xml:space="preserve">se </w:t>
      </w:r>
      <w:r w:rsidRPr="00A07F4C">
        <w:rPr>
          <w:rFonts w:ascii="Arial" w:hAnsi="Arial" w:cs="Arial"/>
          <w:sz w:val="20"/>
          <w:szCs w:val="20"/>
          <w:lang w:val="fr-FR"/>
        </w:rPr>
        <w:t xml:space="preserve">sentent </w:t>
      </w:r>
      <w:r>
        <w:rPr>
          <w:rFonts w:ascii="Arial" w:hAnsi="Arial" w:cs="Arial"/>
          <w:sz w:val="20"/>
          <w:szCs w:val="20"/>
          <w:lang w:val="fr-FR"/>
        </w:rPr>
        <w:t xml:space="preserve">aidées </w:t>
      </w:r>
      <w:r w:rsidRPr="00A07F4C">
        <w:rPr>
          <w:rFonts w:ascii="Arial" w:hAnsi="Arial" w:cs="Arial"/>
          <w:sz w:val="20"/>
          <w:szCs w:val="20"/>
          <w:lang w:val="fr-FR"/>
        </w:rPr>
        <w:t xml:space="preserve">dès le premier jour </w:t>
      </w:r>
      <w:r>
        <w:rPr>
          <w:rFonts w:ascii="Arial" w:hAnsi="Arial" w:cs="Arial"/>
          <w:sz w:val="20"/>
          <w:szCs w:val="20"/>
          <w:lang w:val="fr-FR"/>
        </w:rPr>
        <w:t xml:space="preserve">par leur </w:t>
      </w:r>
      <w:r w:rsidRPr="00A07F4C">
        <w:rPr>
          <w:rFonts w:ascii="Arial" w:hAnsi="Arial" w:cs="Arial"/>
          <w:sz w:val="20"/>
          <w:szCs w:val="20"/>
          <w:lang w:val="fr-FR"/>
        </w:rPr>
        <w:t>partenaire, elles sont plu</w:t>
      </w:r>
      <w:r>
        <w:rPr>
          <w:rFonts w:ascii="Arial" w:hAnsi="Arial" w:cs="Arial"/>
          <w:sz w:val="20"/>
          <w:szCs w:val="20"/>
          <w:lang w:val="fr-FR"/>
        </w:rPr>
        <w:t xml:space="preserve">s vite </w:t>
      </w:r>
      <w:r w:rsidRPr="00A07F4C">
        <w:rPr>
          <w:rFonts w:ascii="Arial" w:hAnsi="Arial" w:cs="Arial"/>
          <w:sz w:val="20"/>
          <w:szCs w:val="20"/>
          <w:lang w:val="fr-FR"/>
        </w:rPr>
        <w:t xml:space="preserve">prêtes à reprendre leur vie professionnelle après </w:t>
      </w:r>
      <w:r>
        <w:rPr>
          <w:rFonts w:ascii="Arial" w:hAnsi="Arial" w:cs="Arial"/>
          <w:sz w:val="20"/>
          <w:szCs w:val="20"/>
          <w:lang w:val="fr-FR"/>
        </w:rPr>
        <w:t>la</w:t>
      </w:r>
      <w:r w:rsidRPr="00A07F4C">
        <w:rPr>
          <w:rFonts w:ascii="Arial" w:hAnsi="Arial" w:cs="Arial"/>
          <w:sz w:val="20"/>
          <w:szCs w:val="20"/>
          <w:lang w:val="fr-FR"/>
        </w:rPr>
        <w:t xml:space="preserve"> première p</w:t>
      </w:r>
      <w:r>
        <w:rPr>
          <w:rFonts w:ascii="Arial" w:hAnsi="Arial" w:cs="Arial"/>
          <w:sz w:val="20"/>
          <w:szCs w:val="20"/>
          <w:lang w:val="fr-FR"/>
        </w:rPr>
        <w:t>ériode consacrée au nouveau-né</w:t>
      </w:r>
      <w:r w:rsidRPr="00A07F4C">
        <w:rPr>
          <w:rFonts w:ascii="Arial" w:hAnsi="Arial" w:cs="Arial"/>
          <w:sz w:val="20"/>
          <w:szCs w:val="20"/>
          <w:lang w:val="fr-FR"/>
        </w:rPr>
        <w:t xml:space="preserve">. Le congé-paternité contribue ainsi à l’égalité de la femme et de l’homme au sein de la famille en même temps qu’il contribue à </w:t>
      </w:r>
      <w:r>
        <w:rPr>
          <w:rFonts w:ascii="Arial" w:hAnsi="Arial" w:cs="Arial"/>
          <w:sz w:val="20"/>
          <w:szCs w:val="20"/>
          <w:lang w:val="fr-FR"/>
        </w:rPr>
        <w:t>la</w:t>
      </w:r>
      <w:r w:rsidRPr="00A07F4C">
        <w:rPr>
          <w:rFonts w:ascii="Arial" w:hAnsi="Arial" w:cs="Arial"/>
          <w:sz w:val="20"/>
          <w:szCs w:val="20"/>
          <w:lang w:val="fr-FR"/>
        </w:rPr>
        <w:t xml:space="preserve"> participation </w:t>
      </w:r>
      <w:r>
        <w:rPr>
          <w:rFonts w:ascii="Arial" w:hAnsi="Arial" w:cs="Arial"/>
          <w:sz w:val="20"/>
          <w:szCs w:val="20"/>
          <w:lang w:val="fr-FR"/>
        </w:rPr>
        <w:t xml:space="preserve">- utile à </w:t>
      </w:r>
      <w:r w:rsidRPr="00A07F4C">
        <w:rPr>
          <w:rFonts w:ascii="Arial" w:hAnsi="Arial" w:cs="Arial"/>
          <w:sz w:val="20"/>
          <w:szCs w:val="20"/>
          <w:lang w:val="fr-FR"/>
        </w:rPr>
        <w:t xml:space="preserve">l’économie </w:t>
      </w:r>
      <w:r>
        <w:rPr>
          <w:rFonts w:ascii="Arial" w:hAnsi="Arial" w:cs="Arial"/>
          <w:sz w:val="20"/>
          <w:szCs w:val="20"/>
          <w:lang w:val="fr-FR"/>
        </w:rPr>
        <w:t xml:space="preserve">- </w:t>
      </w:r>
      <w:r w:rsidRPr="00A07F4C">
        <w:rPr>
          <w:rFonts w:ascii="Arial" w:hAnsi="Arial" w:cs="Arial"/>
          <w:sz w:val="20"/>
          <w:szCs w:val="20"/>
          <w:lang w:val="fr-FR"/>
        </w:rPr>
        <w:t xml:space="preserve">des mères à la vie active (mot </w:t>
      </w:r>
      <w:r>
        <w:rPr>
          <w:rFonts w:ascii="Arial" w:hAnsi="Arial" w:cs="Arial"/>
          <w:sz w:val="20"/>
          <w:szCs w:val="20"/>
          <w:lang w:val="fr-FR"/>
        </w:rPr>
        <w:t>clé</w:t>
      </w:r>
      <w:r w:rsidRPr="00A07F4C">
        <w:rPr>
          <w:rFonts w:ascii="Arial" w:hAnsi="Arial" w:cs="Arial"/>
          <w:sz w:val="20"/>
          <w:szCs w:val="20"/>
          <w:lang w:val="fr-FR"/>
        </w:rPr>
        <w:t>: pénu</w:t>
      </w:r>
      <w:r>
        <w:rPr>
          <w:rFonts w:ascii="Arial" w:hAnsi="Arial" w:cs="Arial"/>
          <w:sz w:val="20"/>
          <w:szCs w:val="20"/>
          <w:lang w:val="fr-FR"/>
        </w:rPr>
        <w:t>rie de main-d’œuvre</w:t>
      </w:r>
      <w:r w:rsidRPr="00A07F4C">
        <w:rPr>
          <w:rFonts w:ascii="Arial" w:hAnsi="Arial" w:cs="Arial"/>
          <w:sz w:val="20"/>
          <w:szCs w:val="20"/>
          <w:lang w:val="fr-FR"/>
        </w:rPr>
        <w:t xml:space="preserve">). </w:t>
      </w:r>
    </w:p>
    <w:p w:rsidR="00202CE4" w:rsidRPr="00A07F4C" w:rsidRDefault="00202CE4" w:rsidP="001D7E3A">
      <w:pPr>
        <w:spacing w:after="0" w:line="300" w:lineRule="exact"/>
        <w:rPr>
          <w:rFonts w:ascii="Arial" w:hAnsi="Arial" w:cs="Arial"/>
          <w:b/>
          <w:sz w:val="20"/>
          <w:szCs w:val="20"/>
          <w:lang w:val="fr-FR"/>
        </w:rPr>
      </w:pPr>
    </w:p>
    <w:p w:rsidR="00202CE4" w:rsidRPr="00A07F4C" w:rsidRDefault="00202CE4" w:rsidP="001D7E3A">
      <w:pPr>
        <w:spacing w:after="0" w:line="300" w:lineRule="exact"/>
        <w:rPr>
          <w:rFonts w:ascii="Arial" w:hAnsi="Arial" w:cs="Arial"/>
          <w:b/>
          <w:sz w:val="20"/>
          <w:szCs w:val="20"/>
          <w:lang w:val="fr-FR"/>
        </w:rPr>
      </w:pPr>
    </w:p>
    <w:p w:rsidR="00202CE4" w:rsidRPr="00A07F4C" w:rsidRDefault="00202CE4" w:rsidP="001D7E3A">
      <w:pPr>
        <w:spacing w:after="0" w:line="300" w:lineRule="exact"/>
        <w:rPr>
          <w:rFonts w:ascii="Arial" w:hAnsi="Arial" w:cs="Arial"/>
          <w:b/>
          <w:sz w:val="20"/>
          <w:szCs w:val="20"/>
          <w:lang w:val="fr-FR"/>
        </w:rPr>
      </w:pPr>
    </w:p>
    <w:p w:rsidR="00202CE4" w:rsidRPr="00A07F4C" w:rsidRDefault="00202CE4" w:rsidP="001D7E3A">
      <w:pPr>
        <w:spacing w:after="0" w:line="300" w:lineRule="exact"/>
        <w:rPr>
          <w:rFonts w:ascii="Arial" w:hAnsi="Arial" w:cs="Arial"/>
          <w:b/>
          <w:sz w:val="20"/>
          <w:szCs w:val="20"/>
          <w:lang w:val="fr-FR"/>
        </w:rPr>
      </w:pPr>
    </w:p>
    <w:p w:rsidR="00202CE4" w:rsidRPr="00A07F4C" w:rsidRDefault="00202CE4" w:rsidP="001D7E3A">
      <w:pPr>
        <w:spacing w:after="0" w:line="300" w:lineRule="exact"/>
        <w:rPr>
          <w:rFonts w:ascii="Arial" w:hAnsi="Arial" w:cs="Arial"/>
          <w:b/>
          <w:sz w:val="20"/>
          <w:szCs w:val="20"/>
          <w:lang w:val="fr-FR"/>
        </w:rPr>
      </w:pPr>
    </w:p>
    <w:p w:rsidR="00202CE4" w:rsidRDefault="00202CE4" w:rsidP="001D7E3A">
      <w:pPr>
        <w:spacing w:after="0" w:line="300" w:lineRule="exact"/>
        <w:rPr>
          <w:rFonts w:ascii="Arial" w:hAnsi="Arial" w:cs="Arial"/>
          <w:b/>
          <w:sz w:val="20"/>
          <w:szCs w:val="20"/>
          <w:lang w:val="fr-FR"/>
        </w:rPr>
      </w:pPr>
    </w:p>
    <w:p w:rsidR="00C64BF5" w:rsidRDefault="00C64BF5" w:rsidP="001D7E3A">
      <w:pPr>
        <w:spacing w:after="0" w:line="300" w:lineRule="exact"/>
        <w:rPr>
          <w:rFonts w:ascii="Arial" w:hAnsi="Arial" w:cs="Arial"/>
          <w:b/>
          <w:sz w:val="20"/>
          <w:szCs w:val="20"/>
          <w:lang w:val="fr-FR"/>
        </w:rPr>
      </w:pPr>
    </w:p>
    <w:p w:rsidR="00C64BF5" w:rsidRDefault="00C64BF5" w:rsidP="001D7E3A">
      <w:pPr>
        <w:spacing w:after="0" w:line="300" w:lineRule="exact"/>
        <w:rPr>
          <w:rFonts w:ascii="Arial" w:hAnsi="Arial" w:cs="Arial"/>
          <w:b/>
          <w:sz w:val="20"/>
          <w:szCs w:val="20"/>
          <w:lang w:val="fr-FR"/>
        </w:rPr>
      </w:pPr>
    </w:p>
    <w:p w:rsidR="00C64BF5" w:rsidRPr="00A07F4C" w:rsidRDefault="00C64BF5" w:rsidP="001D7E3A">
      <w:pPr>
        <w:spacing w:after="0" w:line="300" w:lineRule="exact"/>
        <w:rPr>
          <w:rFonts w:ascii="Arial" w:hAnsi="Arial" w:cs="Arial"/>
          <w:b/>
          <w:sz w:val="20"/>
          <w:szCs w:val="20"/>
          <w:lang w:val="fr-FR"/>
        </w:rPr>
      </w:pPr>
      <w:bookmarkStart w:id="0" w:name="_GoBack"/>
      <w:bookmarkEnd w:id="0"/>
    </w:p>
    <w:p w:rsidR="00202CE4" w:rsidRPr="00A07F4C" w:rsidRDefault="00202CE4" w:rsidP="001D7E3A">
      <w:pPr>
        <w:spacing w:after="0" w:line="300" w:lineRule="exact"/>
        <w:jc w:val="center"/>
        <w:rPr>
          <w:rFonts w:ascii="Arial" w:hAnsi="Arial" w:cs="Arial"/>
          <w:sz w:val="20"/>
          <w:szCs w:val="20"/>
          <w:lang w:val="fr-FR"/>
        </w:rPr>
      </w:pPr>
    </w:p>
    <w:p w:rsidR="00202CE4" w:rsidRPr="00CE1AAF" w:rsidRDefault="00202CE4" w:rsidP="001D7E3A">
      <w:pPr>
        <w:spacing w:after="0" w:line="300" w:lineRule="exact"/>
        <w:jc w:val="center"/>
        <w:rPr>
          <w:rFonts w:ascii="Arial" w:hAnsi="Arial" w:cs="Arial"/>
          <w:sz w:val="20"/>
          <w:szCs w:val="20"/>
          <w:lang w:val="fr-FR"/>
        </w:rPr>
      </w:pPr>
      <w:r w:rsidRPr="00CE1AAF">
        <w:rPr>
          <w:rFonts w:ascii="Arial" w:hAnsi="Arial" w:cs="Arial"/>
          <w:sz w:val="20"/>
          <w:szCs w:val="20"/>
          <w:lang w:val="fr-FR"/>
        </w:rPr>
        <w:t>Travail.Suisse, Hopfenweg 21, 3001 Berne, tél. 031 370 21 11, info@travailsuisse.ch,</w:t>
      </w:r>
    </w:p>
    <w:p w:rsidR="00202CE4" w:rsidRPr="001D7E3A" w:rsidRDefault="00202CE4" w:rsidP="001D7E3A">
      <w:pPr>
        <w:spacing w:after="0" w:line="300" w:lineRule="exact"/>
        <w:jc w:val="center"/>
        <w:rPr>
          <w:rFonts w:ascii="Arial" w:hAnsi="Arial" w:cs="Arial"/>
          <w:sz w:val="20"/>
          <w:szCs w:val="20"/>
        </w:rPr>
      </w:pPr>
      <w:r w:rsidRPr="001D7E3A">
        <w:rPr>
          <w:rFonts w:ascii="Arial" w:hAnsi="Arial" w:cs="Arial"/>
          <w:sz w:val="20"/>
          <w:szCs w:val="20"/>
        </w:rPr>
        <w:t>www.travailsuisse.ch</w:t>
      </w:r>
    </w:p>
    <w:sectPr w:rsidR="00202CE4" w:rsidRPr="001D7E3A" w:rsidSect="001D7E3A">
      <w:pgSz w:w="11906" w:h="16838"/>
      <w:pgMar w:top="1418" w:right="1134" w:bottom="1418"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CE4" w:rsidRDefault="00202CE4" w:rsidP="00BD672E">
      <w:pPr>
        <w:spacing w:after="0" w:line="240" w:lineRule="auto"/>
      </w:pPr>
      <w:r>
        <w:separator/>
      </w:r>
    </w:p>
  </w:endnote>
  <w:endnote w:type="continuationSeparator" w:id="0">
    <w:p w:rsidR="00202CE4" w:rsidRDefault="00202CE4" w:rsidP="00BD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CE4" w:rsidRDefault="00202CE4" w:rsidP="00BD672E">
      <w:pPr>
        <w:spacing w:after="0" w:line="240" w:lineRule="auto"/>
      </w:pPr>
      <w:r>
        <w:separator/>
      </w:r>
    </w:p>
  </w:footnote>
  <w:footnote w:type="continuationSeparator" w:id="0">
    <w:p w:rsidR="00202CE4" w:rsidRDefault="00202CE4" w:rsidP="00BD672E">
      <w:pPr>
        <w:spacing w:after="0" w:line="240" w:lineRule="auto"/>
      </w:pPr>
      <w:r>
        <w:continuationSeparator/>
      </w:r>
    </w:p>
  </w:footnote>
  <w:footnote w:id="1">
    <w:p w:rsidR="00202CE4" w:rsidRPr="00C64BF5" w:rsidRDefault="00202CE4" w:rsidP="00670D41">
      <w:pPr>
        <w:pStyle w:val="Funotentext"/>
        <w:ind w:left="142" w:hanging="142"/>
        <w:rPr>
          <w:lang w:val="fr-CH"/>
        </w:rPr>
      </w:pPr>
      <w:r w:rsidRPr="001D7E3A">
        <w:rPr>
          <w:rStyle w:val="Funotenzeichen"/>
          <w:rFonts w:ascii="Arial" w:hAnsi="Arial" w:cs="Arial"/>
          <w:sz w:val="16"/>
          <w:szCs w:val="16"/>
        </w:rPr>
        <w:footnoteRef/>
      </w:r>
      <w:r w:rsidRPr="00C64BF5">
        <w:rPr>
          <w:rFonts w:ascii="Arial" w:hAnsi="Arial" w:cs="Arial"/>
          <w:sz w:val="16"/>
          <w:szCs w:val="16"/>
          <w:lang w:val="fr-CH"/>
        </w:rPr>
        <w:t xml:space="preserve"> Quelques exemples: Zürcher Kantonalbank, UBS, Banque Coop, Swisscom, Procter &amp; Gamble, Helsana, IKEA, Mc Donald’s, Swiss Re, SSR (dix jours), La Mobilière, Migros, Raiffeisen (15 jours), Clariant (16 jours), Mobility (20 jours). </w:t>
      </w:r>
      <w:r w:rsidRPr="00B04707">
        <w:rPr>
          <w:rFonts w:ascii="Arial" w:hAnsi="Arial" w:cs="Arial"/>
          <w:sz w:val="16"/>
          <w:szCs w:val="16"/>
          <w:lang w:val="fr-FR"/>
        </w:rPr>
        <w:t xml:space="preserve">Compilation établie par nos soins </w:t>
      </w:r>
      <w:r w:rsidRPr="006A4F53">
        <w:rPr>
          <w:rFonts w:ascii="Arial" w:hAnsi="Arial" w:cs="Arial"/>
          <w:sz w:val="16"/>
          <w:szCs w:val="16"/>
          <w:lang w:val="fr-FR"/>
        </w:rPr>
        <w:t>sur la base du Rapport du Conseil fédéral du 30 octobre</w:t>
      </w:r>
      <w:r>
        <w:rPr>
          <w:rFonts w:ascii="Arial" w:hAnsi="Arial" w:cs="Arial"/>
          <w:sz w:val="16"/>
          <w:szCs w:val="16"/>
          <w:lang w:val="fr-FR"/>
        </w:rPr>
        <w:t xml:space="preserve"> 2013 « </w:t>
      </w:r>
      <w:r w:rsidRPr="002A0A56">
        <w:rPr>
          <w:rFonts w:ascii="Arial" w:hAnsi="Arial" w:cs="Arial"/>
          <w:sz w:val="16"/>
          <w:szCs w:val="16"/>
          <w:lang w:val="fr-FR"/>
        </w:rPr>
        <w:t>Congé de paternité et congé parental. Etat des lieux et présentation de divers modèles », pp. 8</w:t>
      </w:r>
      <w:r w:rsidRPr="006A4F53">
        <w:rPr>
          <w:rFonts w:ascii="Arial" w:hAnsi="Arial" w:cs="Arial"/>
          <w:sz w:val="16"/>
          <w:szCs w:val="16"/>
          <w:lang w:val="fr-FR"/>
        </w:rPr>
        <w:t xml:space="preserve">7 et 88; </w:t>
      </w:r>
      <w:r>
        <w:rPr>
          <w:rFonts w:ascii="Arial" w:hAnsi="Arial" w:cs="Arial"/>
          <w:sz w:val="16"/>
          <w:szCs w:val="16"/>
          <w:lang w:val="fr-FR"/>
        </w:rPr>
        <w:t xml:space="preserve">Compilation de </w:t>
      </w:r>
      <w:r w:rsidRPr="006A4F53">
        <w:rPr>
          <w:rFonts w:ascii="Arial" w:hAnsi="Arial" w:cs="Arial"/>
          <w:sz w:val="16"/>
          <w:szCs w:val="16"/>
          <w:lang w:val="fr-FR"/>
        </w:rPr>
        <w:t xml:space="preserve">Travail.Suisse </w:t>
      </w:r>
      <w:r>
        <w:rPr>
          <w:rFonts w:ascii="Arial" w:hAnsi="Arial" w:cs="Arial"/>
          <w:sz w:val="16"/>
          <w:szCs w:val="16"/>
          <w:lang w:val="fr-FR"/>
        </w:rPr>
        <w:t>datée de m</w:t>
      </w:r>
      <w:r w:rsidRPr="006A4F53">
        <w:rPr>
          <w:rFonts w:ascii="Arial" w:hAnsi="Arial" w:cs="Arial"/>
          <w:sz w:val="16"/>
          <w:szCs w:val="16"/>
          <w:lang w:val="fr-FR"/>
        </w:rPr>
        <w:t xml:space="preserve">ai 2014: </w:t>
      </w:r>
      <w:hyperlink r:id="rId1" w:history="1">
        <w:r w:rsidRPr="006A4F53">
          <w:rPr>
            <w:rStyle w:val="Hyperlink"/>
            <w:rFonts w:ascii="Arial" w:hAnsi="Arial" w:cs="Arial"/>
            <w:sz w:val="16"/>
            <w:szCs w:val="16"/>
            <w:lang w:val="fr-FR"/>
          </w:rPr>
          <w:t>http://www.travailsuisse.ch/themen/gleichstellung/mutterschaft_und_vaterschaft</w:t>
        </w:r>
      </w:hyperlink>
    </w:p>
  </w:footnote>
  <w:footnote w:id="2">
    <w:p w:rsidR="00202CE4" w:rsidRPr="00C64BF5" w:rsidRDefault="00202CE4" w:rsidP="001D7E3A">
      <w:pPr>
        <w:pStyle w:val="Funotentext"/>
        <w:ind w:left="142" w:hanging="142"/>
        <w:rPr>
          <w:lang w:val="fr-CH"/>
        </w:rPr>
      </w:pPr>
      <w:r w:rsidRPr="001D7E3A">
        <w:rPr>
          <w:rStyle w:val="Funotenzeichen"/>
          <w:rFonts w:ascii="Arial" w:hAnsi="Arial" w:cs="Arial"/>
          <w:sz w:val="16"/>
          <w:szCs w:val="16"/>
        </w:rPr>
        <w:footnoteRef/>
      </w:r>
      <w:r w:rsidRPr="00E1180D">
        <w:rPr>
          <w:rFonts w:ascii="Arial" w:hAnsi="Arial" w:cs="Arial"/>
          <w:sz w:val="16"/>
          <w:szCs w:val="16"/>
          <w:lang w:val="fr-FR"/>
        </w:rPr>
        <w:t xml:space="preserve"> Rapport du Conseil fédéral du </w:t>
      </w:r>
      <w:r>
        <w:rPr>
          <w:rFonts w:ascii="Arial" w:hAnsi="Arial" w:cs="Arial"/>
          <w:sz w:val="16"/>
          <w:szCs w:val="16"/>
          <w:lang w:val="fr-FR"/>
        </w:rPr>
        <w:t xml:space="preserve">30.10.2013 </w:t>
      </w:r>
      <w:r w:rsidRPr="002A0A56">
        <w:rPr>
          <w:rFonts w:ascii="Arial" w:hAnsi="Arial" w:cs="Arial"/>
          <w:sz w:val="16"/>
          <w:szCs w:val="16"/>
          <w:lang w:val="fr-FR"/>
        </w:rPr>
        <w:t>« Congé de paternité et congé parental. Etat des lieux et présentation de divers modèles », p. 57.</w:t>
      </w:r>
    </w:p>
  </w:footnote>
  <w:footnote w:id="3">
    <w:p w:rsidR="00202CE4" w:rsidRPr="00C64BF5" w:rsidRDefault="00202CE4" w:rsidP="001D7E3A">
      <w:pPr>
        <w:pStyle w:val="Funotentext"/>
        <w:ind w:left="142" w:hanging="142"/>
        <w:rPr>
          <w:lang w:val="fr-CH"/>
        </w:rPr>
      </w:pPr>
      <w:r w:rsidRPr="001D7E3A">
        <w:rPr>
          <w:rStyle w:val="Funotenzeichen"/>
          <w:rFonts w:ascii="Arial" w:hAnsi="Arial" w:cs="Arial"/>
          <w:sz w:val="16"/>
          <w:szCs w:val="16"/>
        </w:rPr>
        <w:footnoteRef/>
      </w:r>
      <w:r w:rsidRPr="00845087">
        <w:rPr>
          <w:rFonts w:ascii="Arial" w:hAnsi="Arial" w:cs="Arial"/>
          <w:sz w:val="16"/>
          <w:szCs w:val="16"/>
          <w:lang w:val="fr-FR"/>
        </w:rPr>
        <w:t xml:space="preserve"> Communiqué de presse compenswiss du 26 mars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C12F7"/>
    <w:multiLevelType w:val="hybridMultilevel"/>
    <w:tmpl w:val="650634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22F467A"/>
    <w:multiLevelType w:val="hybridMultilevel"/>
    <w:tmpl w:val="EE7CD3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594"/>
    <w:rsid w:val="000211AF"/>
    <w:rsid w:val="00061869"/>
    <w:rsid w:val="000E367D"/>
    <w:rsid w:val="000F126F"/>
    <w:rsid w:val="00122442"/>
    <w:rsid w:val="00126B9B"/>
    <w:rsid w:val="00137594"/>
    <w:rsid w:val="00162BC1"/>
    <w:rsid w:val="001917AB"/>
    <w:rsid w:val="001C67D6"/>
    <w:rsid w:val="001D7E3A"/>
    <w:rsid w:val="00202CE4"/>
    <w:rsid w:val="0022072D"/>
    <w:rsid w:val="00222E38"/>
    <w:rsid w:val="0023299B"/>
    <w:rsid w:val="00256141"/>
    <w:rsid w:val="002676A1"/>
    <w:rsid w:val="002A0A56"/>
    <w:rsid w:val="002B4B3F"/>
    <w:rsid w:val="002D79A2"/>
    <w:rsid w:val="002F3049"/>
    <w:rsid w:val="00301085"/>
    <w:rsid w:val="003723B9"/>
    <w:rsid w:val="00412D85"/>
    <w:rsid w:val="00417C6A"/>
    <w:rsid w:val="00462D10"/>
    <w:rsid w:val="004663CA"/>
    <w:rsid w:val="00486EE1"/>
    <w:rsid w:val="004918FD"/>
    <w:rsid w:val="004D3A74"/>
    <w:rsid w:val="00546B69"/>
    <w:rsid w:val="005502DE"/>
    <w:rsid w:val="00642C24"/>
    <w:rsid w:val="00670D41"/>
    <w:rsid w:val="006979BA"/>
    <w:rsid w:val="006A4F53"/>
    <w:rsid w:val="006E5E6E"/>
    <w:rsid w:val="00713DE6"/>
    <w:rsid w:val="00723683"/>
    <w:rsid w:val="00727931"/>
    <w:rsid w:val="00740FA0"/>
    <w:rsid w:val="00755E92"/>
    <w:rsid w:val="00794155"/>
    <w:rsid w:val="00802DBB"/>
    <w:rsid w:val="00845087"/>
    <w:rsid w:val="008A0E85"/>
    <w:rsid w:val="008E3636"/>
    <w:rsid w:val="008E7A1A"/>
    <w:rsid w:val="00907B10"/>
    <w:rsid w:val="009121B1"/>
    <w:rsid w:val="009A5D0F"/>
    <w:rsid w:val="00A03B95"/>
    <w:rsid w:val="00A07F4C"/>
    <w:rsid w:val="00A161A5"/>
    <w:rsid w:val="00A66E40"/>
    <w:rsid w:val="00A87DFA"/>
    <w:rsid w:val="00A9048C"/>
    <w:rsid w:val="00AC3CB3"/>
    <w:rsid w:val="00AF63D4"/>
    <w:rsid w:val="00B04707"/>
    <w:rsid w:val="00B10218"/>
    <w:rsid w:val="00B1128D"/>
    <w:rsid w:val="00B422D9"/>
    <w:rsid w:val="00B46CEC"/>
    <w:rsid w:val="00B53499"/>
    <w:rsid w:val="00B87F73"/>
    <w:rsid w:val="00B91C43"/>
    <w:rsid w:val="00BA260D"/>
    <w:rsid w:val="00BD672E"/>
    <w:rsid w:val="00BF6B05"/>
    <w:rsid w:val="00C005BF"/>
    <w:rsid w:val="00C06009"/>
    <w:rsid w:val="00C64BF5"/>
    <w:rsid w:val="00C76777"/>
    <w:rsid w:val="00C86E71"/>
    <w:rsid w:val="00CB5EE5"/>
    <w:rsid w:val="00CE1AAF"/>
    <w:rsid w:val="00CE386A"/>
    <w:rsid w:val="00CF0474"/>
    <w:rsid w:val="00D125AA"/>
    <w:rsid w:val="00D20ED4"/>
    <w:rsid w:val="00D253CD"/>
    <w:rsid w:val="00D4287E"/>
    <w:rsid w:val="00D600EB"/>
    <w:rsid w:val="00D674C4"/>
    <w:rsid w:val="00DA148F"/>
    <w:rsid w:val="00DD7B07"/>
    <w:rsid w:val="00DE1C5C"/>
    <w:rsid w:val="00DE3EDA"/>
    <w:rsid w:val="00DF66C1"/>
    <w:rsid w:val="00E1180D"/>
    <w:rsid w:val="00E14F67"/>
    <w:rsid w:val="00E56ED8"/>
    <w:rsid w:val="00E83995"/>
    <w:rsid w:val="00E85F8E"/>
    <w:rsid w:val="00E960B6"/>
    <w:rsid w:val="00EA159C"/>
    <w:rsid w:val="00ED45FB"/>
    <w:rsid w:val="00EE1F16"/>
    <w:rsid w:val="00EF088D"/>
    <w:rsid w:val="00F050F7"/>
    <w:rsid w:val="00F2049A"/>
    <w:rsid w:val="00F675AF"/>
    <w:rsid w:val="00F84024"/>
    <w:rsid w:val="00FC5E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B3765DB-DA7E-410C-AE7B-5B858E58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1A5"/>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BD672E"/>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BD672E"/>
    <w:rPr>
      <w:rFonts w:cs="Times New Roman"/>
      <w:sz w:val="20"/>
      <w:szCs w:val="20"/>
    </w:rPr>
  </w:style>
  <w:style w:type="character" w:styleId="Funotenzeichen">
    <w:name w:val="footnote reference"/>
    <w:basedOn w:val="Absatz-Standardschriftart"/>
    <w:uiPriority w:val="99"/>
    <w:semiHidden/>
    <w:rsid w:val="00BD672E"/>
    <w:rPr>
      <w:rFonts w:cs="Times New Roman"/>
      <w:vertAlign w:val="superscript"/>
    </w:rPr>
  </w:style>
  <w:style w:type="table" w:styleId="Tabellenraster">
    <w:name w:val="Table Grid"/>
    <w:basedOn w:val="NormaleTabelle"/>
    <w:uiPriority w:val="99"/>
    <w:rsid w:val="00CB5E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CB5EE5"/>
    <w:rPr>
      <w:rFonts w:cs="Times New Roman"/>
      <w:color w:val="0563C1"/>
      <w:u w:val="single"/>
    </w:rPr>
  </w:style>
  <w:style w:type="paragraph" w:styleId="Listenabsatz">
    <w:name w:val="List Paragraph"/>
    <w:basedOn w:val="Standard"/>
    <w:uiPriority w:val="99"/>
    <w:qFormat/>
    <w:rsid w:val="00D125AA"/>
    <w:pPr>
      <w:ind w:left="720"/>
      <w:contextualSpacing/>
    </w:pPr>
  </w:style>
  <w:style w:type="paragraph" w:styleId="Sprechblasentext">
    <w:name w:val="Balloon Text"/>
    <w:basedOn w:val="Standard"/>
    <w:link w:val="SprechblasentextZchn"/>
    <w:uiPriority w:val="99"/>
    <w:semiHidden/>
    <w:rsid w:val="00D253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253CD"/>
    <w:rPr>
      <w:rFonts w:ascii="Segoe UI" w:hAnsi="Segoe UI" w:cs="Segoe UI"/>
      <w:sz w:val="18"/>
      <w:szCs w:val="18"/>
    </w:rPr>
  </w:style>
  <w:style w:type="character" w:styleId="Kommentarzeichen">
    <w:name w:val="annotation reference"/>
    <w:basedOn w:val="Absatz-Standardschriftart"/>
    <w:uiPriority w:val="99"/>
    <w:semiHidden/>
    <w:rsid w:val="000E367D"/>
    <w:rPr>
      <w:rFonts w:cs="Times New Roman"/>
      <w:sz w:val="16"/>
      <w:szCs w:val="16"/>
    </w:rPr>
  </w:style>
  <w:style w:type="paragraph" w:styleId="Kommentartext">
    <w:name w:val="annotation text"/>
    <w:basedOn w:val="Standard"/>
    <w:link w:val="KommentartextZchn"/>
    <w:uiPriority w:val="99"/>
    <w:semiHidden/>
    <w:rsid w:val="000E367D"/>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0E367D"/>
    <w:rPr>
      <w:rFonts w:cs="Times New Roman"/>
      <w:sz w:val="20"/>
      <w:szCs w:val="20"/>
    </w:rPr>
  </w:style>
  <w:style w:type="paragraph" w:styleId="Kommentarthema">
    <w:name w:val="annotation subject"/>
    <w:basedOn w:val="Kommentartext"/>
    <w:next w:val="Kommentartext"/>
    <w:link w:val="KommentarthemaZchn"/>
    <w:uiPriority w:val="99"/>
    <w:semiHidden/>
    <w:rsid w:val="000E367D"/>
    <w:rPr>
      <w:b/>
      <w:bCs/>
    </w:rPr>
  </w:style>
  <w:style w:type="character" w:customStyle="1" w:styleId="KommentarthemaZchn">
    <w:name w:val="Kommentarthema Zchn"/>
    <w:basedOn w:val="KommentartextZchn"/>
    <w:link w:val="Kommentarthema"/>
    <w:uiPriority w:val="99"/>
    <w:semiHidden/>
    <w:locked/>
    <w:rsid w:val="000E367D"/>
    <w:rPr>
      <w:rFonts w:cs="Times New Roman"/>
      <w:b/>
      <w:bCs/>
      <w:sz w:val="20"/>
      <w:szCs w:val="20"/>
    </w:rPr>
  </w:style>
  <w:style w:type="character" w:styleId="BesuchterHyperlink">
    <w:name w:val="FollowedHyperlink"/>
    <w:basedOn w:val="Absatz-Standardschriftart"/>
    <w:uiPriority w:val="99"/>
    <w:rsid w:val="00B0470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ravailsuisse.ch/themen/gleichstellung/mutterschaft_und_vatersch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7003</Characters>
  <Application>Microsoft Office Word</Application>
  <DocSecurity>0</DocSecurity>
  <Lines>58</Lines>
  <Paragraphs>16</Paragraphs>
  <ScaleCrop>false</ScaleCrop>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Matthias Kuert</dc:creator>
  <cp:keywords/>
  <dc:description/>
  <cp:lastModifiedBy>Linda Rosenkranz</cp:lastModifiedBy>
  <cp:revision>15</cp:revision>
  <cp:lastPrinted>2015-04-07T14:39:00Z</cp:lastPrinted>
  <dcterms:created xsi:type="dcterms:W3CDTF">2015-04-09T20:05:00Z</dcterms:created>
  <dcterms:modified xsi:type="dcterms:W3CDTF">2015-04-13T13:41:00Z</dcterms:modified>
</cp:coreProperties>
</file>