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E8" w:rsidRDefault="006F79E8" w:rsidP="00190A2F">
      <w:pPr>
        <w:spacing w:after="0" w:line="300" w:lineRule="exact"/>
        <w:rPr>
          <w:rFonts w:ascii="Arial" w:hAnsi="Arial" w:cs="Arial"/>
          <w:b/>
          <w:bCs/>
          <w:sz w:val="20"/>
          <w:szCs w:val="20"/>
        </w:rPr>
      </w:pPr>
    </w:p>
    <w:p w:rsidR="006F79E8" w:rsidRDefault="006F79E8" w:rsidP="00190A2F">
      <w:pPr>
        <w:spacing w:after="0" w:line="300" w:lineRule="exact"/>
        <w:rPr>
          <w:rFonts w:ascii="Arial" w:hAnsi="Arial" w:cs="Arial"/>
          <w:b/>
          <w:bCs/>
          <w:sz w:val="20"/>
          <w:szCs w:val="20"/>
        </w:rPr>
      </w:pPr>
    </w:p>
    <w:p w:rsidR="006F79E8" w:rsidRDefault="006F79E8" w:rsidP="00190A2F">
      <w:pPr>
        <w:spacing w:after="0" w:line="300" w:lineRule="exact"/>
        <w:rPr>
          <w:rFonts w:ascii="Arial" w:hAnsi="Arial" w:cs="Arial"/>
          <w:b/>
          <w:bCs/>
          <w:sz w:val="20"/>
          <w:szCs w:val="20"/>
        </w:rPr>
      </w:pPr>
    </w:p>
    <w:p w:rsidR="006F79E8" w:rsidRDefault="006F79E8" w:rsidP="00190A2F">
      <w:pPr>
        <w:spacing w:after="0" w:line="300" w:lineRule="exact"/>
        <w:rPr>
          <w:rFonts w:ascii="Arial" w:hAnsi="Arial" w:cs="Arial"/>
          <w:b/>
          <w:bCs/>
          <w:sz w:val="20"/>
          <w:szCs w:val="20"/>
        </w:rPr>
      </w:pPr>
    </w:p>
    <w:p w:rsidR="006F79E8" w:rsidRDefault="006F79E8" w:rsidP="00190A2F">
      <w:pPr>
        <w:spacing w:after="0" w:line="300" w:lineRule="exact"/>
        <w:rPr>
          <w:rFonts w:ascii="Arial" w:hAnsi="Arial" w:cs="Arial"/>
          <w:b/>
          <w:bCs/>
          <w:sz w:val="20"/>
          <w:szCs w:val="20"/>
        </w:rPr>
      </w:pPr>
    </w:p>
    <w:p w:rsidR="006F79E8" w:rsidRDefault="006F79E8" w:rsidP="00190A2F">
      <w:pPr>
        <w:spacing w:after="0" w:line="300" w:lineRule="exact"/>
        <w:rPr>
          <w:rFonts w:ascii="Arial" w:hAnsi="Arial" w:cs="Arial"/>
          <w:b/>
          <w:bCs/>
          <w:sz w:val="20"/>
          <w:szCs w:val="20"/>
        </w:rPr>
      </w:pPr>
    </w:p>
    <w:p w:rsidR="006F79E8" w:rsidRPr="00A67523" w:rsidRDefault="006F79E8" w:rsidP="001C00C5">
      <w:pPr>
        <w:spacing w:after="0" w:line="300" w:lineRule="exact"/>
        <w:rPr>
          <w:rFonts w:ascii="Arial" w:hAnsi="Arial" w:cs="Arial"/>
          <w:sz w:val="20"/>
          <w:szCs w:val="20"/>
          <w:lang w:val="fr-CH"/>
        </w:rPr>
      </w:pPr>
      <w:r>
        <w:rPr>
          <w:rFonts w:ascii="Arial" w:hAnsi="Arial" w:cs="Arial"/>
          <w:sz w:val="20"/>
          <w:szCs w:val="20"/>
          <w:lang w:val="fr-CH"/>
        </w:rPr>
        <w:t>Conférence de presse du 22 juin 2015 / Texte d’allocution</w:t>
      </w:r>
    </w:p>
    <w:p w:rsidR="006F79E8" w:rsidRPr="00A67523" w:rsidRDefault="006F79E8" w:rsidP="00281FA9">
      <w:pPr>
        <w:spacing w:after="0" w:line="300" w:lineRule="exact"/>
        <w:rPr>
          <w:rFonts w:ascii="Arial" w:hAnsi="Arial" w:cs="Arial"/>
          <w:sz w:val="20"/>
          <w:szCs w:val="20"/>
          <w:lang w:val="fr-CH"/>
        </w:rPr>
      </w:pPr>
    </w:p>
    <w:p w:rsidR="006F79E8" w:rsidRPr="00A67523" w:rsidRDefault="006F79E8" w:rsidP="00BF6BB8">
      <w:pPr>
        <w:spacing w:after="0" w:line="300" w:lineRule="exact"/>
        <w:rPr>
          <w:rFonts w:ascii="Arial" w:hAnsi="Arial" w:cs="Arial"/>
          <w:lang w:val="fr-CH"/>
        </w:rPr>
      </w:pPr>
      <w:r>
        <w:rPr>
          <w:rFonts w:ascii="Arial" w:hAnsi="Arial" w:cs="Arial"/>
          <w:b/>
          <w:bCs/>
          <w:sz w:val="30"/>
          <w:szCs w:val="30"/>
          <w:lang w:val="fr-CH"/>
        </w:rPr>
        <w:t>11</w:t>
      </w:r>
      <w:r>
        <w:rPr>
          <w:rFonts w:ascii="Arial" w:hAnsi="Arial" w:cs="Arial"/>
          <w:b/>
          <w:bCs/>
          <w:sz w:val="30"/>
          <w:szCs w:val="30"/>
          <w:vertAlign w:val="superscript"/>
          <w:lang w:val="fr-CH"/>
        </w:rPr>
        <w:t>ème</w:t>
      </w:r>
      <w:r>
        <w:rPr>
          <w:rFonts w:ascii="Arial" w:hAnsi="Arial" w:cs="Arial"/>
          <w:b/>
          <w:bCs/>
          <w:sz w:val="30"/>
          <w:szCs w:val="30"/>
          <w:lang w:val="fr-CH"/>
        </w:rPr>
        <w:t xml:space="preserve"> bilan annuel de l’étude sur le salaire des managers</w:t>
      </w:r>
      <w:r w:rsidRPr="00A67523">
        <w:rPr>
          <w:rFonts w:ascii="Arial" w:hAnsi="Arial" w:cs="Arial"/>
          <w:b/>
          <w:bCs/>
          <w:sz w:val="30"/>
          <w:szCs w:val="3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FC3FCA">
      <w:pPr>
        <w:spacing w:after="0" w:line="300" w:lineRule="exact"/>
        <w:rPr>
          <w:rFonts w:ascii="Arial" w:hAnsi="Arial" w:cs="Arial"/>
          <w:lang w:val="fr-CH"/>
        </w:rPr>
      </w:pPr>
      <w:r>
        <w:rPr>
          <w:rFonts w:ascii="Arial" w:hAnsi="Arial" w:cs="Arial"/>
          <w:b/>
          <w:bCs/>
          <w:sz w:val="20"/>
          <w:szCs w:val="20"/>
          <w:lang w:val="fr-CH"/>
        </w:rPr>
        <w:t>Pour la onzième fois, en 2014, Travail.Suisse, l’organisation faîtière indépendante des travailleurs, a examiné l’écart salarial de 27 entreprises suisses, dans le cadre de l’étude sur le salaire des managers.</w:t>
      </w:r>
      <w:r w:rsidRPr="00A67523">
        <w:rPr>
          <w:rFonts w:ascii="Arial" w:hAnsi="Arial" w:cs="Arial"/>
          <w:b/>
          <w:bCs/>
          <w:sz w:val="20"/>
          <w:szCs w:val="20"/>
          <w:lang w:val="fr-CH"/>
        </w:rPr>
        <w:t xml:space="preserve"> </w:t>
      </w:r>
      <w:r>
        <w:rPr>
          <w:rFonts w:ascii="Arial" w:hAnsi="Arial" w:cs="Arial"/>
          <w:b/>
          <w:bCs/>
          <w:sz w:val="20"/>
          <w:szCs w:val="20"/>
          <w:lang w:val="fr-CH"/>
        </w:rPr>
        <w:t>Conclusion :</w:t>
      </w:r>
      <w:r w:rsidRPr="00A67523">
        <w:rPr>
          <w:rFonts w:ascii="Arial" w:hAnsi="Arial" w:cs="Arial"/>
          <w:b/>
          <w:bCs/>
          <w:sz w:val="20"/>
          <w:szCs w:val="20"/>
          <w:lang w:val="fr-CH"/>
        </w:rPr>
        <w:t xml:space="preserve"> </w:t>
      </w:r>
      <w:r>
        <w:rPr>
          <w:rFonts w:ascii="Arial" w:hAnsi="Arial" w:cs="Arial"/>
          <w:b/>
          <w:bCs/>
          <w:sz w:val="20"/>
          <w:szCs w:val="20"/>
          <w:lang w:val="fr-CH"/>
        </w:rPr>
        <w:t>Il n’y a toujours pas de transparence.</w:t>
      </w:r>
      <w:r w:rsidRPr="00A67523">
        <w:rPr>
          <w:rFonts w:ascii="Arial" w:hAnsi="Arial" w:cs="Arial"/>
          <w:b/>
          <w:bCs/>
          <w:sz w:val="20"/>
          <w:szCs w:val="20"/>
          <w:lang w:val="fr-CH"/>
        </w:rPr>
        <w:t xml:space="preserve"> </w:t>
      </w:r>
      <w:r>
        <w:rPr>
          <w:rFonts w:ascii="Arial" w:hAnsi="Arial" w:cs="Arial"/>
          <w:b/>
          <w:bCs/>
          <w:sz w:val="20"/>
          <w:szCs w:val="20"/>
          <w:lang w:val="fr-CH"/>
        </w:rPr>
        <w:t>Les indemnités au sein des  directions des groupes sont camouflées et les plus bas salaires ne sont communiqués que sur demande explicite, si tant est qu’ils le soient.</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FC3FCA">
      <w:pPr>
        <w:pBdr>
          <w:top w:val="single" w:sz="4" w:space="1" w:color="auto"/>
          <w:bottom w:val="single" w:sz="4" w:space="1" w:color="auto"/>
        </w:pBdr>
        <w:spacing w:after="0" w:line="300" w:lineRule="exact"/>
        <w:rPr>
          <w:rFonts w:ascii="Arial" w:hAnsi="Arial" w:cs="Arial"/>
          <w:sz w:val="20"/>
          <w:szCs w:val="20"/>
          <w:lang w:val="fr-CH"/>
        </w:rPr>
      </w:pPr>
      <w:r>
        <w:rPr>
          <w:rFonts w:ascii="Arial" w:hAnsi="Arial" w:cs="Arial"/>
          <w:sz w:val="20"/>
          <w:szCs w:val="20"/>
          <w:lang w:val="fr-CH"/>
        </w:rPr>
        <w:t>André Marty, Collaborateur du projet, Travail.Suisse</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FC3FCA">
      <w:pPr>
        <w:spacing w:after="0" w:line="300" w:lineRule="exact"/>
        <w:rPr>
          <w:rFonts w:ascii="Arial" w:hAnsi="Arial" w:cs="Arial"/>
          <w:lang w:val="fr-CH"/>
        </w:rPr>
      </w:pPr>
      <w:r>
        <w:rPr>
          <w:rFonts w:ascii="Arial" w:hAnsi="Arial" w:cs="Arial"/>
          <w:sz w:val="20"/>
          <w:szCs w:val="20"/>
          <w:lang w:val="fr-CH"/>
        </w:rPr>
        <w:t>Au cours des dernières années, les salaires des managers ont fait l’objet d’un débat public intensif.</w:t>
      </w:r>
      <w:r w:rsidRPr="00A67523">
        <w:rPr>
          <w:rFonts w:ascii="Arial" w:hAnsi="Arial" w:cs="Arial"/>
          <w:sz w:val="20"/>
          <w:szCs w:val="20"/>
          <w:lang w:val="fr-CH"/>
        </w:rPr>
        <w:t xml:space="preserve"> </w:t>
      </w:r>
      <w:r>
        <w:rPr>
          <w:rFonts w:ascii="Arial" w:hAnsi="Arial" w:cs="Arial"/>
          <w:sz w:val="20"/>
          <w:szCs w:val="20"/>
          <w:lang w:val="fr-CH"/>
        </w:rPr>
        <w:t>A ce propos, il existe un large consensus estimant que les salaires versés sont injustifiables et exagérés.</w:t>
      </w:r>
      <w:r w:rsidRPr="00A67523">
        <w:rPr>
          <w:rFonts w:ascii="Arial" w:hAnsi="Arial" w:cs="Arial"/>
          <w:sz w:val="20"/>
          <w:szCs w:val="20"/>
          <w:lang w:val="fr-CH"/>
        </w:rPr>
        <w:t xml:space="preserve"> </w:t>
      </w:r>
      <w:r>
        <w:rPr>
          <w:rFonts w:ascii="Arial" w:hAnsi="Arial" w:cs="Arial"/>
          <w:sz w:val="20"/>
          <w:szCs w:val="20"/>
          <w:lang w:val="fr-CH"/>
        </w:rPr>
        <w:t>C’est surtout l’adoption de l’initiative contre les rémunérations abusives qui a révélé le grand mécontentement de la population à ce sujet. Un message a été clairement formulé : cela ne peut pas continuer ainsi. Entre temps, il devient de plus en plus évident que les promesses faites par l’initiative contre les rémunérations abusives ne pourront pas être tenues.</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FC3FCA">
      <w:pPr>
        <w:spacing w:after="0" w:line="300" w:lineRule="exact"/>
        <w:rPr>
          <w:rFonts w:ascii="Arial" w:hAnsi="Arial" w:cs="Arial"/>
          <w:sz w:val="20"/>
          <w:szCs w:val="20"/>
          <w:lang w:val="fr-CH"/>
        </w:rPr>
      </w:pPr>
      <w:r>
        <w:rPr>
          <w:rFonts w:ascii="Arial" w:hAnsi="Arial" w:cs="Arial"/>
          <w:sz w:val="20"/>
          <w:szCs w:val="20"/>
          <w:lang w:val="fr-CH"/>
        </w:rPr>
        <w:t>Dan</w:t>
      </w:r>
      <w:r w:rsidR="00A67523">
        <w:rPr>
          <w:rFonts w:ascii="Arial" w:hAnsi="Arial" w:cs="Arial"/>
          <w:sz w:val="20"/>
          <w:szCs w:val="20"/>
          <w:lang w:val="fr-CH"/>
        </w:rPr>
        <w:t>s</w:t>
      </w:r>
      <w:r>
        <w:rPr>
          <w:rFonts w:ascii="Arial" w:hAnsi="Arial" w:cs="Arial"/>
          <w:sz w:val="20"/>
          <w:szCs w:val="20"/>
          <w:lang w:val="fr-CH"/>
        </w:rPr>
        <w:t xml:space="preserve"> le cadre de l'étude sur le salaire des managers, Travail.Suisse analyse l’écart salarial pratiqué dans 27 entreprises suisses</w:t>
      </w:r>
      <w:r>
        <w:rPr>
          <w:rStyle w:val="Funotenzeichen"/>
          <w:rFonts w:ascii="Arial" w:hAnsi="Arial" w:cs="Arial"/>
          <w:sz w:val="20"/>
          <w:szCs w:val="20"/>
          <w:lang w:val="fr-CH"/>
        </w:rPr>
        <w:footnoteReference w:id="1"/>
      </w:r>
      <w:r>
        <w:rPr>
          <w:rFonts w:ascii="Arial" w:hAnsi="Arial" w:cs="Arial"/>
          <w:sz w:val="20"/>
          <w:szCs w:val="20"/>
          <w:lang w:val="fr-CH"/>
        </w:rPr>
        <w:t xml:space="preserve"> de différentes branches.</w:t>
      </w:r>
      <w:r>
        <w:rPr>
          <w:rStyle w:val="Funotenzeichen"/>
          <w:rFonts w:ascii="Arial" w:hAnsi="Arial" w:cs="Arial"/>
          <w:sz w:val="20"/>
          <w:szCs w:val="20"/>
          <w:lang w:val="fr-CH"/>
        </w:rPr>
        <w:footnoteReference w:id="2"/>
      </w:r>
      <w:r>
        <w:rPr>
          <w:rFonts w:ascii="Arial" w:hAnsi="Arial" w:cs="Arial"/>
          <w:sz w:val="20"/>
          <w:szCs w:val="20"/>
          <w:lang w:val="fr-CH"/>
        </w:rPr>
        <w:t xml:space="preserve"> Il s’agit concrètement de 23 entreprises cotées en bourse, de deux entreprises organisées en coopérative, de la RUAG, propriété exclusive de la Confédération, ainsi que de la Poste comme établissement autonome de droit public.</w:t>
      </w:r>
    </w:p>
    <w:p w:rsidR="006F79E8" w:rsidRDefault="006F79E8" w:rsidP="00190A2F">
      <w:pPr>
        <w:spacing w:after="0" w:line="300" w:lineRule="exact"/>
        <w:rPr>
          <w:rFonts w:ascii="Arial" w:hAnsi="Arial" w:cs="Arial"/>
          <w:sz w:val="20"/>
          <w:szCs w:val="20"/>
          <w:lang w:val="fr-CH"/>
        </w:rPr>
      </w:pPr>
    </w:p>
    <w:p w:rsidR="00A67523" w:rsidRPr="00A67523" w:rsidRDefault="00A67523" w:rsidP="00190A2F">
      <w:pPr>
        <w:spacing w:after="0" w:line="300" w:lineRule="exact"/>
        <w:rPr>
          <w:rFonts w:ascii="Arial" w:hAnsi="Arial" w:cs="Arial"/>
          <w:sz w:val="20"/>
          <w:szCs w:val="20"/>
          <w:lang w:val="fr-CH"/>
        </w:rPr>
      </w:pPr>
    </w:p>
    <w:p w:rsidR="006F79E8" w:rsidRPr="00A67523" w:rsidRDefault="006F79E8" w:rsidP="00FC3FCA">
      <w:pPr>
        <w:spacing w:after="0" w:line="300" w:lineRule="exact"/>
        <w:rPr>
          <w:rFonts w:ascii="Arial" w:hAnsi="Arial" w:cs="Arial"/>
          <w:lang w:val="fr-CH"/>
        </w:rPr>
      </w:pPr>
      <w:r>
        <w:rPr>
          <w:rFonts w:ascii="Arial" w:hAnsi="Arial" w:cs="Arial"/>
          <w:b/>
          <w:bCs/>
          <w:sz w:val="20"/>
          <w:szCs w:val="20"/>
          <w:lang w:val="fr-CH"/>
        </w:rPr>
        <w:t>L’écart salarial</w:t>
      </w:r>
      <w:r w:rsidRPr="00A67523">
        <w:rPr>
          <w:rFonts w:ascii="Arial" w:hAnsi="Arial" w:cs="Arial"/>
          <w:b/>
          <w:bCs/>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FC3FCA">
      <w:pPr>
        <w:spacing w:after="0" w:line="300" w:lineRule="exact"/>
        <w:rPr>
          <w:rFonts w:ascii="Arial" w:hAnsi="Arial" w:cs="Arial"/>
          <w:lang w:val="fr-CH"/>
        </w:rPr>
      </w:pPr>
      <w:r>
        <w:rPr>
          <w:rFonts w:ascii="Arial" w:hAnsi="Arial" w:cs="Arial"/>
          <w:sz w:val="20"/>
          <w:szCs w:val="20"/>
          <w:lang w:val="fr-CH"/>
        </w:rPr>
        <w:t>L’étude porte sur la politique d’indemnisation menée par les entreprises analysées.</w:t>
      </w:r>
      <w:r w:rsidRPr="00A67523">
        <w:rPr>
          <w:rFonts w:ascii="Arial" w:hAnsi="Arial" w:cs="Arial"/>
          <w:sz w:val="20"/>
          <w:szCs w:val="20"/>
          <w:lang w:val="fr-CH"/>
        </w:rPr>
        <w:t xml:space="preserve"> </w:t>
      </w:r>
      <w:r>
        <w:rPr>
          <w:rFonts w:ascii="Arial" w:hAnsi="Arial" w:cs="Arial"/>
          <w:sz w:val="20"/>
          <w:szCs w:val="20"/>
          <w:lang w:val="fr-CH"/>
        </w:rPr>
        <w:t>A cet effet, l’enquête sur l’écart salarial se situe au premier plan.</w:t>
      </w:r>
      <w:r w:rsidRPr="00A67523">
        <w:rPr>
          <w:rFonts w:ascii="Arial" w:hAnsi="Arial" w:cs="Arial"/>
          <w:sz w:val="20"/>
          <w:szCs w:val="20"/>
          <w:lang w:val="fr-CH"/>
        </w:rPr>
        <w:t xml:space="preserve"> </w:t>
      </w:r>
      <w:r>
        <w:rPr>
          <w:rFonts w:ascii="Arial" w:hAnsi="Arial" w:cs="Arial"/>
          <w:sz w:val="20"/>
          <w:szCs w:val="20"/>
          <w:lang w:val="fr-CH"/>
        </w:rPr>
        <w:t>L’écart salarial décrit le rapport existant entre le salaire le plus bas et le salaire le plus élevé.</w:t>
      </w:r>
      <w:r w:rsidRPr="00A67523">
        <w:rPr>
          <w:rFonts w:ascii="Arial" w:hAnsi="Arial" w:cs="Arial"/>
          <w:sz w:val="20"/>
          <w:szCs w:val="20"/>
          <w:lang w:val="fr-CH"/>
        </w:rPr>
        <w:t xml:space="preserve"> </w:t>
      </w:r>
      <w:r>
        <w:rPr>
          <w:rFonts w:ascii="Arial" w:hAnsi="Arial" w:cs="Arial"/>
          <w:sz w:val="20"/>
          <w:szCs w:val="20"/>
          <w:lang w:val="fr-CH"/>
        </w:rPr>
        <w:t>Cela permet une comparaison avec les années précédentes et avec les autres entreprises. Trois types d’écart salarial différents sont calculés à chaque fois :</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A67523">
      <w:pPr>
        <w:pStyle w:val="Listenabsatz"/>
        <w:numPr>
          <w:ilvl w:val="0"/>
          <w:numId w:val="2"/>
        </w:numPr>
        <w:spacing w:after="0" w:line="300" w:lineRule="exact"/>
        <w:ind w:left="567" w:hanging="567"/>
        <w:rPr>
          <w:rFonts w:ascii="Arial" w:hAnsi="Arial" w:cs="Arial"/>
          <w:lang w:val="fr-CH"/>
        </w:rPr>
      </w:pPr>
      <w:r>
        <w:rPr>
          <w:rFonts w:ascii="Arial" w:hAnsi="Arial" w:cs="Arial"/>
          <w:sz w:val="20"/>
          <w:szCs w:val="20"/>
          <w:lang w:val="fr-CH"/>
        </w:rPr>
        <w:t>Le rapport entre l’indemnité globale la plus élevée et le salaire le plus bas dans l’entreprise.</w:t>
      </w:r>
      <w:r w:rsidRPr="00A67523">
        <w:rPr>
          <w:rFonts w:ascii="Arial" w:hAnsi="Arial" w:cs="Arial"/>
          <w:sz w:val="20"/>
          <w:szCs w:val="20"/>
          <w:lang w:val="fr-CH"/>
        </w:rPr>
        <w:t xml:space="preserve"> </w:t>
      </w:r>
    </w:p>
    <w:p w:rsidR="006F79E8" w:rsidRPr="00A67523" w:rsidRDefault="006F79E8" w:rsidP="00A67523">
      <w:pPr>
        <w:pStyle w:val="Listenabsatz"/>
        <w:numPr>
          <w:ilvl w:val="0"/>
          <w:numId w:val="2"/>
        </w:numPr>
        <w:spacing w:after="0" w:line="300" w:lineRule="exact"/>
        <w:ind w:left="567" w:hanging="567"/>
        <w:rPr>
          <w:rFonts w:ascii="Arial" w:hAnsi="Arial" w:cs="Arial"/>
          <w:lang w:val="fr-CH"/>
        </w:rPr>
      </w:pPr>
      <w:r>
        <w:rPr>
          <w:rFonts w:ascii="Arial" w:hAnsi="Arial" w:cs="Arial"/>
          <w:sz w:val="20"/>
          <w:szCs w:val="20"/>
          <w:lang w:val="fr-CH"/>
        </w:rPr>
        <w:t>Le rapport entre l’indemnité moyenne d’un membre de la direction du groupe et le salaire le plus bas dans l’entreprise.</w:t>
      </w:r>
      <w:r w:rsidRPr="00A67523">
        <w:rPr>
          <w:rFonts w:ascii="Arial" w:hAnsi="Arial" w:cs="Arial"/>
          <w:sz w:val="20"/>
          <w:szCs w:val="20"/>
          <w:lang w:val="fr-CH"/>
        </w:rPr>
        <w:t xml:space="preserve"> </w:t>
      </w:r>
    </w:p>
    <w:p w:rsidR="006F79E8" w:rsidRPr="00A67523" w:rsidRDefault="006F79E8" w:rsidP="00A67523">
      <w:pPr>
        <w:pStyle w:val="Listenabsatz"/>
        <w:numPr>
          <w:ilvl w:val="0"/>
          <w:numId w:val="2"/>
        </w:numPr>
        <w:spacing w:after="0" w:line="300" w:lineRule="exact"/>
        <w:ind w:left="567" w:hanging="567"/>
        <w:rPr>
          <w:rFonts w:ascii="Arial" w:hAnsi="Arial" w:cs="Arial"/>
          <w:lang w:val="fr-CH"/>
        </w:rPr>
      </w:pPr>
      <w:r>
        <w:rPr>
          <w:rFonts w:ascii="Arial" w:hAnsi="Arial" w:cs="Arial"/>
          <w:sz w:val="20"/>
          <w:szCs w:val="20"/>
          <w:lang w:val="fr-CH"/>
        </w:rPr>
        <w:t>Le rapport entre l’indemnité moyenne d’un membre du conseil d’administration et le salaire le plus bas dans l’entreprise.</w:t>
      </w:r>
      <w:r w:rsidRPr="00A67523">
        <w:rPr>
          <w:rFonts w:ascii="Arial" w:hAnsi="Arial" w:cs="Arial"/>
          <w:sz w:val="20"/>
          <w:szCs w:val="20"/>
          <w:lang w:val="fr-CH"/>
        </w:rPr>
        <w:t xml:space="preserve"> </w:t>
      </w:r>
    </w:p>
    <w:p w:rsidR="006F79E8" w:rsidRPr="00A67523" w:rsidRDefault="006F79E8" w:rsidP="00FC3FCA">
      <w:pPr>
        <w:spacing w:after="0" w:line="300" w:lineRule="exact"/>
        <w:rPr>
          <w:rFonts w:ascii="Arial" w:hAnsi="Arial" w:cs="Arial"/>
          <w:lang w:val="fr-CH"/>
        </w:rPr>
      </w:pPr>
      <w:r>
        <w:rPr>
          <w:rFonts w:ascii="Arial" w:hAnsi="Arial" w:cs="Arial"/>
          <w:sz w:val="20"/>
          <w:szCs w:val="20"/>
          <w:lang w:val="fr-CH"/>
        </w:rPr>
        <w:lastRenderedPageBreak/>
        <w:t>Dans l’éc</w:t>
      </w:r>
      <w:bookmarkStart w:id="0" w:name="_GoBack"/>
      <w:bookmarkEnd w:id="0"/>
      <w:r>
        <w:rPr>
          <w:rFonts w:ascii="Arial" w:hAnsi="Arial" w:cs="Arial"/>
          <w:sz w:val="20"/>
          <w:szCs w:val="20"/>
          <w:lang w:val="fr-CH"/>
        </w:rPr>
        <w:t>art salarial de l’indemnité moyenne d’un membre de la direction du groupe, une différence supplémentaire est faite si le CEO est compris ou non dans le calcul.</w:t>
      </w:r>
      <w:r w:rsidRPr="00A67523">
        <w:rPr>
          <w:rFonts w:ascii="Arial" w:hAnsi="Arial" w:cs="Arial"/>
          <w:sz w:val="20"/>
          <w:szCs w:val="20"/>
          <w:lang w:val="fr-CH"/>
        </w:rPr>
        <w:t xml:space="preserve"> </w:t>
      </w:r>
      <w:r>
        <w:rPr>
          <w:rFonts w:ascii="Arial" w:hAnsi="Arial" w:cs="Arial"/>
          <w:sz w:val="20"/>
          <w:szCs w:val="20"/>
          <w:lang w:val="fr-CH"/>
        </w:rPr>
        <w:t>Cela signifie que deux calculs sont effectués : d’une part l’indemnité moyenne pour tous les membres de la direction du groupe et d’autre part l’indemnité moyenne de tous les membres de la direction du groupe sans celle du CEO.</w:t>
      </w:r>
      <w:r w:rsidRPr="00A67523">
        <w:rPr>
          <w:rFonts w:ascii="Arial" w:hAnsi="Arial" w:cs="Arial"/>
          <w:sz w:val="20"/>
          <w:szCs w:val="20"/>
          <w:lang w:val="fr-CH"/>
        </w:rPr>
        <w:t xml:space="preserve"> </w:t>
      </w:r>
      <w:r>
        <w:rPr>
          <w:rFonts w:ascii="Arial" w:hAnsi="Arial" w:cs="Arial"/>
          <w:sz w:val="20"/>
          <w:szCs w:val="20"/>
          <w:lang w:val="fr-CH"/>
        </w:rPr>
        <w:t>Cette différence est faite depuis 2007 car, cette année-là, les modifications du droit des obligations sont entrées en vigueur et les entreprises ont été obligées de publier les indemnités les plus élevées au sein de la direction du groupe.</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FC3FCA">
      <w:pPr>
        <w:spacing w:after="0" w:line="300" w:lineRule="exact"/>
        <w:rPr>
          <w:rFonts w:ascii="Arial" w:hAnsi="Arial" w:cs="Arial"/>
          <w:lang w:val="fr-CH"/>
        </w:rPr>
      </w:pPr>
      <w:r>
        <w:rPr>
          <w:rFonts w:ascii="Arial" w:hAnsi="Arial" w:cs="Arial"/>
          <w:sz w:val="20"/>
          <w:szCs w:val="20"/>
          <w:lang w:val="fr-CH"/>
        </w:rPr>
        <w:t>C’est en se basant sur les données relevées et les écarts salariaux qui en résultent que Travail.Suisse a élaboré, chaque année, l’affiche sur « Le cartel des hauts salaires ».</w:t>
      </w:r>
      <w:r w:rsidRPr="00A67523">
        <w:rPr>
          <w:rFonts w:ascii="Arial" w:hAnsi="Arial" w:cs="Arial"/>
          <w:sz w:val="20"/>
          <w:szCs w:val="20"/>
          <w:lang w:val="fr-CH"/>
        </w:rPr>
        <w:t xml:space="preserve"> </w:t>
      </w:r>
      <w:r>
        <w:rPr>
          <w:rFonts w:ascii="Arial" w:hAnsi="Arial" w:cs="Arial"/>
          <w:sz w:val="20"/>
          <w:szCs w:val="20"/>
          <w:lang w:val="fr-CH"/>
        </w:rPr>
        <w:t>Les personnes représentées gagnent au moins cent fois plus que la personne rémunérée avec le salaire le plus bas de l’entreprise.</w:t>
      </w:r>
      <w:r w:rsidRPr="00A67523">
        <w:rPr>
          <w:rFonts w:ascii="Arial" w:hAnsi="Arial" w:cs="Arial"/>
          <w:sz w:val="20"/>
          <w:szCs w:val="20"/>
          <w:lang w:val="fr-CH"/>
        </w:rPr>
        <w:t xml:space="preserve"> </w:t>
      </w:r>
      <w:r>
        <w:rPr>
          <w:rFonts w:ascii="Arial" w:hAnsi="Arial" w:cs="Arial"/>
          <w:sz w:val="20"/>
          <w:szCs w:val="20"/>
          <w:lang w:val="fr-CH"/>
        </w:rPr>
        <w:t>Afin d’obtenir des résultats comparables, il s’agit, pour les écarts salariaux reproduits, d'écarts de salaires entre des personnes.</w:t>
      </w:r>
      <w:r w:rsidRPr="00A67523">
        <w:rPr>
          <w:rFonts w:ascii="Arial" w:hAnsi="Arial" w:cs="Arial"/>
          <w:sz w:val="20"/>
          <w:szCs w:val="20"/>
          <w:lang w:val="fr-CH"/>
        </w:rPr>
        <w:t xml:space="preserve"> </w:t>
      </w:r>
      <w:r>
        <w:rPr>
          <w:rFonts w:ascii="Arial" w:hAnsi="Arial" w:cs="Arial"/>
          <w:sz w:val="20"/>
          <w:szCs w:val="20"/>
          <w:lang w:val="fr-CH"/>
        </w:rPr>
        <w:t>Lors de changement de fonction, d’entrée ou de sortie de l’entreprise, l’indemnité versée est calculée sur une année.</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FC3FCA">
      <w:pPr>
        <w:spacing w:after="0" w:line="300" w:lineRule="exact"/>
        <w:rPr>
          <w:rFonts w:ascii="Arial" w:hAnsi="Arial" w:cs="Arial"/>
          <w:lang w:val="fr-CH"/>
        </w:rPr>
      </w:pPr>
      <w:r>
        <w:rPr>
          <w:rFonts w:ascii="Arial" w:hAnsi="Arial" w:cs="Arial"/>
          <w:b/>
          <w:bCs/>
          <w:sz w:val="20"/>
          <w:szCs w:val="20"/>
          <w:lang w:val="fr-CH"/>
        </w:rPr>
        <w:t>Les salaires les plus bas sont communiqués</w:t>
      </w:r>
      <w:r w:rsidRPr="00A67523">
        <w:rPr>
          <w:rFonts w:ascii="Arial" w:hAnsi="Arial" w:cs="Arial"/>
          <w:b/>
          <w:bCs/>
          <w:sz w:val="20"/>
          <w:szCs w:val="20"/>
          <w:lang w:val="fr-CH"/>
        </w:rPr>
        <w:t xml:space="preserve"> </w:t>
      </w:r>
      <w:r>
        <w:rPr>
          <w:rFonts w:ascii="Arial" w:hAnsi="Arial" w:cs="Arial"/>
          <w:b/>
          <w:bCs/>
          <w:sz w:val="20"/>
          <w:szCs w:val="20"/>
          <w:lang w:val="fr-CH"/>
        </w:rPr>
        <w:t>uniquement sur demande, si tant est qu’on vous réponde</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A44F5F">
      <w:pPr>
        <w:spacing w:after="0" w:line="300" w:lineRule="exact"/>
        <w:rPr>
          <w:rFonts w:ascii="Arial" w:hAnsi="Arial" w:cs="Arial"/>
          <w:lang w:val="fr-CH"/>
        </w:rPr>
      </w:pPr>
      <w:r>
        <w:rPr>
          <w:rFonts w:ascii="Arial" w:hAnsi="Arial" w:cs="Arial"/>
          <w:sz w:val="20"/>
          <w:szCs w:val="20"/>
          <w:lang w:val="fr-CH"/>
        </w:rPr>
        <w:t>Travail.Suisse analyse les salaires de managers depuis l’année 2005 et peut, grâce à la banque de données élaborée qui remonte jusqu’à 2002, présenter le développement sur les douze dernières années.</w:t>
      </w:r>
      <w:r w:rsidRPr="00A67523">
        <w:rPr>
          <w:rFonts w:ascii="Arial" w:hAnsi="Arial" w:cs="Arial"/>
          <w:sz w:val="20"/>
          <w:szCs w:val="20"/>
          <w:lang w:val="fr-CH"/>
        </w:rPr>
        <w:t xml:space="preserve"> </w:t>
      </w:r>
      <w:r>
        <w:rPr>
          <w:rFonts w:ascii="Arial" w:hAnsi="Arial" w:cs="Arial"/>
          <w:sz w:val="20"/>
          <w:szCs w:val="20"/>
          <w:lang w:val="fr-CH"/>
        </w:rPr>
        <w:t>Les données qui ont été utilisées pour le calcul de l’écart salarial proviennent, en premier lieu, des rapports d’activité et surtout des rapports sur les indemnités versées par les différentes entreprises.</w:t>
      </w:r>
      <w:r w:rsidRPr="00A67523">
        <w:rPr>
          <w:rFonts w:ascii="Arial" w:hAnsi="Arial" w:cs="Arial"/>
          <w:sz w:val="20"/>
          <w:szCs w:val="20"/>
          <w:lang w:val="fr-CH"/>
        </w:rPr>
        <w:t xml:space="preserve"> </w:t>
      </w:r>
      <w:r>
        <w:rPr>
          <w:rFonts w:ascii="Arial" w:hAnsi="Arial" w:cs="Arial"/>
          <w:sz w:val="20"/>
          <w:szCs w:val="20"/>
          <w:lang w:val="fr-CH"/>
        </w:rPr>
        <w:t>Lorsque les rapports n’indiquaient pas toutes les données nécessaires, il a été demandé aux entreprises de mettre à disposition les informations manquantes.</w:t>
      </w:r>
      <w:r w:rsidRPr="00A67523">
        <w:rPr>
          <w:rFonts w:ascii="Arial" w:hAnsi="Arial" w:cs="Arial"/>
          <w:sz w:val="20"/>
          <w:szCs w:val="20"/>
          <w:lang w:val="fr-CH"/>
        </w:rPr>
        <w:t xml:space="preserve"> </w:t>
      </w:r>
      <w:r>
        <w:rPr>
          <w:rFonts w:ascii="Arial" w:hAnsi="Arial" w:cs="Arial"/>
          <w:sz w:val="20"/>
          <w:szCs w:val="20"/>
          <w:lang w:val="fr-CH"/>
        </w:rPr>
        <w:t>Ce sont surtout les salaires les plus bas qui ont pu être établis en procédant de la sorte.</w:t>
      </w:r>
      <w:r w:rsidRPr="00A67523">
        <w:rPr>
          <w:rFonts w:ascii="Arial" w:hAnsi="Arial" w:cs="Arial"/>
          <w:sz w:val="20"/>
          <w:szCs w:val="20"/>
          <w:lang w:val="fr-CH"/>
        </w:rPr>
        <w:t xml:space="preserve"> </w:t>
      </w:r>
      <w:r>
        <w:rPr>
          <w:rFonts w:ascii="Arial" w:hAnsi="Arial" w:cs="Arial"/>
          <w:sz w:val="20"/>
          <w:szCs w:val="20"/>
          <w:lang w:val="fr-CH"/>
        </w:rPr>
        <w:t>Dans certains cas, cependant, les entreprises n’étaient pas disposées à publier le montant des salaires les plus bas.</w:t>
      </w:r>
      <w:r w:rsidRPr="00A67523">
        <w:rPr>
          <w:rFonts w:ascii="Arial" w:hAnsi="Arial" w:cs="Arial"/>
          <w:sz w:val="20"/>
          <w:szCs w:val="20"/>
          <w:lang w:val="fr-CH"/>
        </w:rPr>
        <w:t xml:space="preserve"> </w:t>
      </w:r>
      <w:r>
        <w:rPr>
          <w:rFonts w:ascii="Arial" w:hAnsi="Arial" w:cs="Arial"/>
          <w:sz w:val="20"/>
          <w:szCs w:val="20"/>
          <w:lang w:val="fr-CH"/>
        </w:rPr>
        <w:t xml:space="preserve">Novartis, ABB, Swatch, </w:t>
      </w:r>
      <w:proofErr w:type="spellStart"/>
      <w:r>
        <w:rPr>
          <w:rFonts w:ascii="Arial" w:hAnsi="Arial" w:cs="Arial"/>
          <w:sz w:val="20"/>
          <w:szCs w:val="20"/>
          <w:lang w:val="fr-CH"/>
        </w:rPr>
        <w:t>Oerlikon</w:t>
      </w:r>
      <w:proofErr w:type="spellEnd"/>
      <w:r>
        <w:rPr>
          <w:rFonts w:ascii="Arial" w:hAnsi="Arial" w:cs="Arial"/>
          <w:sz w:val="20"/>
          <w:szCs w:val="20"/>
          <w:lang w:val="fr-CH"/>
        </w:rPr>
        <w:t xml:space="preserve">, </w:t>
      </w:r>
      <w:proofErr w:type="spellStart"/>
      <w:r>
        <w:rPr>
          <w:rFonts w:ascii="Arial" w:hAnsi="Arial" w:cs="Arial"/>
          <w:sz w:val="20"/>
          <w:szCs w:val="20"/>
          <w:lang w:val="fr-CH"/>
        </w:rPr>
        <w:t>Lonza</w:t>
      </w:r>
      <w:proofErr w:type="spellEnd"/>
      <w:r>
        <w:rPr>
          <w:rFonts w:ascii="Arial" w:hAnsi="Arial" w:cs="Arial"/>
          <w:sz w:val="20"/>
          <w:szCs w:val="20"/>
          <w:lang w:val="fr-CH"/>
        </w:rPr>
        <w:t xml:space="preserve">, </w:t>
      </w:r>
      <w:proofErr w:type="spellStart"/>
      <w:r>
        <w:rPr>
          <w:rFonts w:ascii="Arial" w:hAnsi="Arial" w:cs="Arial"/>
          <w:sz w:val="20"/>
          <w:szCs w:val="20"/>
          <w:lang w:val="fr-CH"/>
        </w:rPr>
        <w:t>Implenia</w:t>
      </w:r>
      <w:proofErr w:type="spellEnd"/>
      <w:r>
        <w:rPr>
          <w:rFonts w:ascii="Arial" w:hAnsi="Arial" w:cs="Arial"/>
          <w:sz w:val="20"/>
          <w:szCs w:val="20"/>
          <w:lang w:val="fr-CH"/>
        </w:rPr>
        <w:t xml:space="preserve">, </w:t>
      </w:r>
      <w:proofErr w:type="spellStart"/>
      <w:r>
        <w:rPr>
          <w:rFonts w:ascii="Arial" w:hAnsi="Arial" w:cs="Arial"/>
          <w:sz w:val="20"/>
          <w:szCs w:val="20"/>
          <w:lang w:val="fr-CH"/>
        </w:rPr>
        <w:t>Bobst</w:t>
      </w:r>
      <w:proofErr w:type="spellEnd"/>
      <w:r>
        <w:rPr>
          <w:rFonts w:ascii="Arial" w:hAnsi="Arial" w:cs="Arial"/>
          <w:sz w:val="20"/>
          <w:szCs w:val="20"/>
          <w:lang w:val="fr-CH"/>
        </w:rPr>
        <w:t xml:space="preserve">, </w:t>
      </w:r>
      <w:proofErr w:type="spellStart"/>
      <w:r>
        <w:rPr>
          <w:rFonts w:ascii="Arial" w:hAnsi="Arial" w:cs="Arial"/>
          <w:sz w:val="20"/>
          <w:szCs w:val="20"/>
          <w:lang w:val="fr-CH"/>
        </w:rPr>
        <w:t>Valora</w:t>
      </w:r>
      <w:proofErr w:type="spellEnd"/>
      <w:r>
        <w:rPr>
          <w:rFonts w:ascii="Arial" w:hAnsi="Arial" w:cs="Arial"/>
          <w:sz w:val="20"/>
          <w:szCs w:val="20"/>
          <w:lang w:val="fr-CH"/>
        </w:rPr>
        <w:t xml:space="preserve"> et RUAG font partie de ces entreprises.</w:t>
      </w:r>
      <w:r w:rsidRPr="00A67523">
        <w:rPr>
          <w:rFonts w:ascii="Arial" w:hAnsi="Arial" w:cs="Arial"/>
          <w:sz w:val="20"/>
          <w:szCs w:val="20"/>
          <w:lang w:val="fr-CH"/>
        </w:rPr>
        <w:t xml:space="preserve"> </w:t>
      </w:r>
      <w:r>
        <w:rPr>
          <w:rFonts w:ascii="Arial" w:hAnsi="Arial" w:cs="Arial"/>
          <w:sz w:val="20"/>
          <w:szCs w:val="20"/>
          <w:lang w:val="fr-CH"/>
        </w:rPr>
        <w:t>Pour ces entreprises, les informations sur les salaires les plus bas ont été élaborées à l’aide de conventions de travail collectives ou de l’indice suisse des salaires de l’Office fédéral de la statistique.</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A44F5F">
      <w:pPr>
        <w:spacing w:after="0" w:line="300" w:lineRule="exact"/>
        <w:rPr>
          <w:rFonts w:ascii="Arial" w:hAnsi="Arial" w:cs="Arial"/>
          <w:b/>
          <w:bCs/>
          <w:sz w:val="20"/>
          <w:szCs w:val="20"/>
          <w:lang w:val="fr-CH"/>
        </w:rPr>
      </w:pPr>
      <w:r>
        <w:rPr>
          <w:rFonts w:ascii="Arial" w:hAnsi="Arial" w:cs="Arial"/>
          <w:b/>
          <w:bCs/>
          <w:sz w:val="20"/>
          <w:szCs w:val="20"/>
          <w:lang w:val="fr-CH"/>
        </w:rPr>
        <w:t>Manque de transparence important</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A44F5F">
      <w:pPr>
        <w:spacing w:after="0" w:line="300" w:lineRule="exact"/>
        <w:rPr>
          <w:rFonts w:ascii="Arial" w:hAnsi="Arial" w:cs="Arial"/>
          <w:lang w:val="fr-CH"/>
        </w:rPr>
      </w:pPr>
      <w:r>
        <w:rPr>
          <w:rFonts w:ascii="Arial" w:hAnsi="Arial" w:cs="Arial"/>
          <w:sz w:val="20"/>
          <w:szCs w:val="20"/>
          <w:lang w:val="fr-CH"/>
        </w:rPr>
        <w:t>La transparence est parfois très insuffisante, comme les années précédentes.</w:t>
      </w:r>
      <w:r w:rsidRPr="00A67523">
        <w:rPr>
          <w:rFonts w:ascii="Arial" w:hAnsi="Arial" w:cs="Arial"/>
          <w:sz w:val="20"/>
          <w:szCs w:val="20"/>
          <w:lang w:val="fr-CH"/>
        </w:rPr>
        <w:t xml:space="preserve"> </w:t>
      </w:r>
      <w:r>
        <w:rPr>
          <w:rFonts w:ascii="Arial" w:hAnsi="Arial" w:cs="Arial"/>
          <w:sz w:val="20"/>
          <w:szCs w:val="20"/>
          <w:lang w:val="fr-CH"/>
        </w:rPr>
        <w:t>Mais c’est au niveau de la direction du groupe que le manque de transparence est le plus marqué.</w:t>
      </w:r>
      <w:r w:rsidRPr="00A67523">
        <w:rPr>
          <w:rFonts w:ascii="Arial" w:hAnsi="Arial" w:cs="Arial"/>
          <w:sz w:val="20"/>
          <w:szCs w:val="20"/>
          <w:lang w:val="fr-CH"/>
        </w:rPr>
        <w:t xml:space="preserve"> Puisque</w:t>
      </w:r>
      <w:r>
        <w:rPr>
          <w:rFonts w:ascii="Arial" w:hAnsi="Arial" w:cs="Arial"/>
          <w:sz w:val="20"/>
          <w:szCs w:val="20"/>
          <w:lang w:val="fr-CH"/>
        </w:rPr>
        <w:t xml:space="preserve"> les entreprises sont obligées de publier uniquement l’indemnité la plus élevée d’un membre de la direction du groupe, les dédommagements versés aux autres membres restent dans l’ombre.</w:t>
      </w:r>
      <w:r w:rsidRPr="00A67523">
        <w:rPr>
          <w:rFonts w:ascii="Arial" w:hAnsi="Arial" w:cs="Arial"/>
          <w:sz w:val="20"/>
          <w:szCs w:val="20"/>
          <w:lang w:val="fr-CH"/>
        </w:rPr>
        <w:t xml:space="preserve"> </w:t>
      </w:r>
      <w:r>
        <w:rPr>
          <w:rFonts w:ascii="Arial" w:hAnsi="Arial" w:cs="Arial"/>
          <w:sz w:val="20"/>
          <w:szCs w:val="20"/>
          <w:lang w:val="fr-CH"/>
        </w:rPr>
        <w:t>Les différences de salaires à l’intérieur de l’organe ne sont pas identifiables.</w:t>
      </w:r>
      <w:r w:rsidRPr="00A67523">
        <w:rPr>
          <w:rFonts w:ascii="Arial" w:hAnsi="Arial" w:cs="Arial"/>
          <w:sz w:val="20"/>
          <w:szCs w:val="20"/>
          <w:lang w:val="fr-CH"/>
        </w:rPr>
        <w:t xml:space="preserve"> </w:t>
      </w:r>
      <w:r>
        <w:rPr>
          <w:rFonts w:ascii="Arial" w:hAnsi="Arial" w:cs="Arial"/>
          <w:sz w:val="20"/>
          <w:szCs w:val="20"/>
          <w:lang w:val="fr-CH"/>
        </w:rPr>
        <w:t>Il est seulement possible de calculer une valeur moyenne.</w:t>
      </w:r>
      <w:r w:rsidRPr="00A67523">
        <w:rPr>
          <w:rFonts w:ascii="Arial" w:hAnsi="Arial" w:cs="Arial"/>
          <w:sz w:val="20"/>
          <w:szCs w:val="20"/>
          <w:lang w:val="fr-CH"/>
        </w:rPr>
        <w:t xml:space="preserve"> </w:t>
      </w:r>
      <w:r>
        <w:rPr>
          <w:rFonts w:ascii="Arial" w:hAnsi="Arial" w:cs="Arial"/>
          <w:sz w:val="20"/>
          <w:szCs w:val="20"/>
          <w:lang w:val="fr-CH"/>
        </w:rPr>
        <w:t>Lors de changements de fonctions, la situation devient encore plus dramatique :</w:t>
      </w:r>
      <w:r w:rsidRPr="00A67523">
        <w:rPr>
          <w:rFonts w:ascii="Arial" w:hAnsi="Arial" w:cs="Arial"/>
          <w:sz w:val="20"/>
          <w:szCs w:val="20"/>
          <w:lang w:val="fr-CH"/>
        </w:rPr>
        <w:t xml:space="preserve"> </w:t>
      </w:r>
      <w:r>
        <w:rPr>
          <w:rFonts w:ascii="Arial" w:hAnsi="Arial" w:cs="Arial"/>
          <w:sz w:val="20"/>
          <w:szCs w:val="20"/>
          <w:lang w:val="fr-CH"/>
        </w:rPr>
        <w:t>Si un CEO quitte l’entreprise pendant la durée de l'exercice, son indemnisation doit, certes, être indiquée dans le rapport des indemnités, mais pas de manière individualisée, dans la mesure où son successeur a eu une rémunération plus élevée durant le temps restant.</w:t>
      </w:r>
      <w:r w:rsidRPr="00A67523">
        <w:rPr>
          <w:rFonts w:ascii="Arial" w:hAnsi="Arial" w:cs="Arial"/>
          <w:sz w:val="20"/>
          <w:szCs w:val="20"/>
          <w:lang w:val="fr-CH"/>
        </w:rPr>
        <w:t xml:space="preserve"> </w:t>
      </w:r>
      <w:r>
        <w:rPr>
          <w:rFonts w:ascii="Arial" w:hAnsi="Arial" w:cs="Arial"/>
          <w:sz w:val="20"/>
          <w:szCs w:val="20"/>
          <w:lang w:val="fr-CH"/>
        </w:rPr>
        <w:t>Comme l’ancien CEO est ainsi compté avec le reste de la direction de l’entreprise, l'indemnisation moyenne est complètement faussée, car le CEO, selon l'entreprise prise en compte, peut gagner plus du double d'un membre de la direction de l'entreprise.</w:t>
      </w:r>
      <w:r w:rsidRPr="00A67523">
        <w:rPr>
          <w:rFonts w:ascii="Arial" w:hAnsi="Arial" w:cs="Arial"/>
          <w:sz w:val="20"/>
          <w:szCs w:val="20"/>
          <w:lang w:val="fr-CH"/>
        </w:rPr>
        <w:t xml:space="preserve"> </w:t>
      </w:r>
      <w:r>
        <w:rPr>
          <w:rFonts w:ascii="Arial" w:hAnsi="Arial" w:cs="Arial"/>
          <w:sz w:val="20"/>
          <w:szCs w:val="20"/>
          <w:lang w:val="fr-CH"/>
        </w:rPr>
        <w:t>Le même effet apparaît lors du versement des primes à l’entrée ou des indemnités de départ.</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A44F5F">
      <w:pPr>
        <w:spacing w:after="0" w:line="300" w:lineRule="exact"/>
        <w:rPr>
          <w:rFonts w:ascii="Arial" w:hAnsi="Arial" w:cs="Arial"/>
          <w:lang w:val="fr-CH"/>
        </w:rPr>
      </w:pPr>
      <w:r>
        <w:rPr>
          <w:rFonts w:ascii="Arial" w:hAnsi="Arial" w:cs="Arial"/>
          <w:sz w:val="20"/>
          <w:szCs w:val="20"/>
          <w:lang w:val="fr-CH"/>
        </w:rPr>
        <w:lastRenderedPageBreak/>
        <w:t>Qui plus est, les dispositions existantes ne couvrent pas obligatoirement les salaires les plus élevés au sein d’une entreprise.</w:t>
      </w:r>
      <w:r w:rsidRPr="00A67523">
        <w:rPr>
          <w:rFonts w:ascii="Arial" w:hAnsi="Arial" w:cs="Arial"/>
          <w:sz w:val="20"/>
          <w:szCs w:val="20"/>
          <w:lang w:val="fr-CH"/>
        </w:rPr>
        <w:t xml:space="preserve"> </w:t>
      </w:r>
      <w:r>
        <w:rPr>
          <w:rFonts w:ascii="Arial" w:hAnsi="Arial" w:cs="Arial"/>
          <w:sz w:val="20"/>
          <w:szCs w:val="20"/>
          <w:lang w:val="fr-CH"/>
        </w:rPr>
        <w:t>Il est tout à fait plausible que certaines personnes se trouvant en dehors de la direction de l'entreprise perçoivent des indemnités plus élevées que certains membres de la direction du groupe.</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p w:rsidR="006F79E8" w:rsidRPr="00A67523" w:rsidRDefault="006F79E8" w:rsidP="00A44F5F">
      <w:pPr>
        <w:spacing w:after="0" w:line="300" w:lineRule="exact"/>
        <w:rPr>
          <w:rFonts w:ascii="Arial" w:hAnsi="Arial" w:cs="Arial"/>
          <w:lang w:val="fr-CH"/>
        </w:rPr>
      </w:pPr>
      <w:r>
        <w:rPr>
          <w:rFonts w:ascii="Arial" w:hAnsi="Arial" w:cs="Arial"/>
          <w:sz w:val="20"/>
          <w:szCs w:val="20"/>
          <w:lang w:val="fr-CH"/>
        </w:rPr>
        <w:t>Cette situation est totalement insatisfaisante.</w:t>
      </w:r>
      <w:r w:rsidRPr="00A67523">
        <w:rPr>
          <w:rFonts w:ascii="Arial" w:hAnsi="Arial" w:cs="Arial"/>
          <w:sz w:val="20"/>
          <w:szCs w:val="20"/>
          <w:lang w:val="fr-CH"/>
        </w:rPr>
        <w:t xml:space="preserve"> </w:t>
      </w:r>
      <w:r>
        <w:rPr>
          <w:rFonts w:ascii="Arial" w:hAnsi="Arial" w:cs="Arial"/>
          <w:sz w:val="20"/>
          <w:szCs w:val="20"/>
          <w:lang w:val="fr-CH"/>
        </w:rPr>
        <w:t>Les directives sur la transparence doivent être adaptées afin de rendre obligatoire la publication individuelle des salaires de tous les membres de la direction du groupe.</w:t>
      </w:r>
      <w:r w:rsidRPr="00A67523">
        <w:rPr>
          <w:rFonts w:ascii="Arial" w:hAnsi="Arial" w:cs="Arial"/>
          <w:sz w:val="20"/>
          <w:szCs w:val="20"/>
          <w:lang w:val="fr-CH"/>
        </w:rPr>
        <w:t xml:space="preserve">  </w:t>
      </w:r>
    </w:p>
    <w:p w:rsidR="006F79E8" w:rsidRPr="00A67523" w:rsidRDefault="006F79E8" w:rsidP="00190A2F">
      <w:pPr>
        <w:spacing w:after="0" w:line="300" w:lineRule="exact"/>
        <w:rPr>
          <w:rFonts w:ascii="Arial" w:hAnsi="Arial" w:cs="Arial"/>
          <w:sz w:val="20"/>
          <w:szCs w:val="20"/>
          <w:lang w:val="fr-CH"/>
        </w:rPr>
      </w:pPr>
    </w:p>
    <w:sectPr w:rsidR="006F79E8" w:rsidRPr="00A67523" w:rsidSect="00190A2F">
      <w:pgSz w:w="11906" w:h="16838"/>
      <w:pgMar w:top="1418" w:right="1134" w:bottom="1247" w:left="158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E8" w:rsidRDefault="006F79E8" w:rsidP="005070EA">
      <w:pPr>
        <w:spacing w:after="0" w:line="240" w:lineRule="auto"/>
      </w:pPr>
      <w:r>
        <w:separator/>
      </w:r>
    </w:p>
  </w:endnote>
  <w:endnote w:type="continuationSeparator" w:id="0">
    <w:p w:rsidR="006F79E8" w:rsidRDefault="006F79E8" w:rsidP="0050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E8" w:rsidRDefault="006F79E8" w:rsidP="005070EA">
      <w:pPr>
        <w:spacing w:after="0" w:line="240" w:lineRule="auto"/>
      </w:pPr>
      <w:r>
        <w:separator/>
      </w:r>
    </w:p>
  </w:footnote>
  <w:footnote w:type="continuationSeparator" w:id="0">
    <w:p w:rsidR="006F79E8" w:rsidRDefault="006F79E8" w:rsidP="005070EA">
      <w:pPr>
        <w:spacing w:after="0" w:line="240" w:lineRule="auto"/>
      </w:pPr>
      <w:r>
        <w:continuationSeparator/>
      </w:r>
    </w:p>
  </w:footnote>
  <w:footnote w:id="1">
    <w:p w:rsidR="006F79E8" w:rsidRPr="00A67523" w:rsidRDefault="006F79E8" w:rsidP="00FC3FCA">
      <w:pPr>
        <w:pStyle w:val="Funotentext"/>
        <w:ind w:left="142" w:hanging="142"/>
        <w:rPr>
          <w:rFonts w:ascii="Arial" w:hAnsi="Arial" w:cs="Arial"/>
          <w:sz w:val="16"/>
          <w:szCs w:val="16"/>
        </w:rPr>
      </w:pPr>
      <w:r w:rsidRPr="00A67523">
        <w:rPr>
          <w:rStyle w:val="Funotenzeichen"/>
          <w:rFonts w:ascii="Arial" w:hAnsi="Arial" w:cs="Arial"/>
          <w:sz w:val="16"/>
          <w:szCs w:val="16"/>
        </w:rPr>
        <w:footnoteRef/>
      </w:r>
      <w:r w:rsidRPr="00A67523">
        <w:rPr>
          <w:rFonts w:ascii="Arial" w:hAnsi="Arial" w:cs="Arial"/>
          <w:sz w:val="16"/>
          <w:szCs w:val="16"/>
        </w:rPr>
        <w:t xml:space="preserve"> </w:t>
      </w:r>
      <w:r w:rsidRPr="00A67523">
        <w:rPr>
          <w:rFonts w:ascii="Arial" w:hAnsi="Arial" w:cs="Arial"/>
          <w:sz w:val="16"/>
          <w:szCs w:val="16"/>
          <w:lang w:val="fr-CH"/>
        </w:rPr>
        <w:t xml:space="preserve">ABB, </w:t>
      </w:r>
      <w:proofErr w:type="spellStart"/>
      <w:r w:rsidRPr="00A67523">
        <w:rPr>
          <w:rFonts w:ascii="Arial" w:hAnsi="Arial" w:cs="Arial"/>
          <w:sz w:val="16"/>
          <w:szCs w:val="16"/>
          <w:lang w:val="fr-CH"/>
        </w:rPr>
        <w:t>Ascom</w:t>
      </w:r>
      <w:proofErr w:type="spellEnd"/>
      <w:r w:rsidRPr="00A67523">
        <w:rPr>
          <w:rFonts w:ascii="Arial" w:hAnsi="Arial" w:cs="Arial"/>
          <w:sz w:val="16"/>
          <w:szCs w:val="16"/>
          <w:lang w:val="fr-CH"/>
        </w:rPr>
        <w:t xml:space="preserve">, Bâloise, </w:t>
      </w:r>
      <w:proofErr w:type="spellStart"/>
      <w:r w:rsidRPr="00A67523">
        <w:rPr>
          <w:rFonts w:ascii="Arial" w:hAnsi="Arial" w:cs="Arial"/>
          <w:sz w:val="16"/>
          <w:szCs w:val="16"/>
          <w:lang w:val="fr-CH"/>
        </w:rPr>
        <w:t>Bobst</w:t>
      </w:r>
      <w:proofErr w:type="spellEnd"/>
      <w:r w:rsidRPr="00A67523">
        <w:rPr>
          <w:rFonts w:ascii="Arial" w:hAnsi="Arial" w:cs="Arial"/>
          <w:sz w:val="16"/>
          <w:szCs w:val="16"/>
          <w:lang w:val="fr-CH"/>
        </w:rPr>
        <w:t xml:space="preserve">, </w:t>
      </w:r>
      <w:proofErr w:type="spellStart"/>
      <w:r w:rsidRPr="00A67523">
        <w:rPr>
          <w:rFonts w:ascii="Arial" w:hAnsi="Arial" w:cs="Arial"/>
          <w:sz w:val="16"/>
          <w:szCs w:val="16"/>
          <w:lang w:val="fr-CH"/>
        </w:rPr>
        <w:t>Clariant</w:t>
      </w:r>
      <w:proofErr w:type="spellEnd"/>
      <w:r w:rsidRPr="00A67523">
        <w:rPr>
          <w:rFonts w:ascii="Arial" w:hAnsi="Arial" w:cs="Arial"/>
          <w:sz w:val="16"/>
          <w:szCs w:val="16"/>
          <w:lang w:val="fr-CH"/>
        </w:rPr>
        <w:t xml:space="preserve">, Coop, </w:t>
      </w:r>
      <w:proofErr w:type="spellStart"/>
      <w:r w:rsidRPr="00A67523">
        <w:rPr>
          <w:rFonts w:ascii="Arial" w:hAnsi="Arial" w:cs="Arial"/>
          <w:sz w:val="16"/>
          <w:szCs w:val="16"/>
          <w:lang w:val="fr-CH"/>
        </w:rPr>
        <w:t>Credit</w:t>
      </w:r>
      <w:proofErr w:type="spellEnd"/>
      <w:r w:rsidRPr="00A67523">
        <w:rPr>
          <w:rFonts w:ascii="Arial" w:hAnsi="Arial" w:cs="Arial"/>
          <w:sz w:val="16"/>
          <w:szCs w:val="16"/>
          <w:lang w:val="fr-CH"/>
        </w:rPr>
        <w:t xml:space="preserve"> Suisse, Georg Fischer, </w:t>
      </w:r>
      <w:proofErr w:type="spellStart"/>
      <w:r w:rsidRPr="00A67523">
        <w:rPr>
          <w:rFonts w:ascii="Arial" w:hAnsi="Arial" w:cs="Arial"/>
          <w:sz w:val="16"/>
          <w:szCs w:val="16"/>
          <w:lang w:val="fr-CH"/>
        </w:rPr>
        <w:t>Helvetia</w:t>
      </w:r>
      <w:proofErr w:type="spellEnd"/>
      <w:r w:rsidRPr="00A67523">
        <w:rPr>
          <w:rFonts w:ascii="Arial" w:hAnsi="Arial" w:cs="Arial"/>
          <w:sz w:val="16"/>
          <w:szCs w:val="16"/>
          <w:lang w:val="fr-CH"/>
        </w:rPr>
        <w:t xml:space="preserve">, </w:t>
      </w:r>
      <w:proofErr w:type="spellStart"/>
      <w:r w:rsidRPr="00A67523">
        <w:rPr>
          <w:rFonts w:ascii="Arial" w:hAnsi="Arial" w:cs="Arial"/>
          <w:sz w:val="16"/>
          <w:szCs w:val="16"/>
          <w:lang w:val="fr-CH"/>
        </w:rPr>
        <w:t>Implenia</w:t>
      </w:r>
      <w:proofErr w:type="spellEnd"/>
      <w:r w:rsidRPr="00A67523">
        <w:rPr>
          <w:rFonts w:ascii="Arial" w:hAnsi="Arial" w:cs="Arial"/>
          <w:sz w:val="16"/>
          <w:szCs w:val="16"/>
          <w:lang w:val="fr-CH"/>
        </w:rPr>
        <w:t xml:space="preserve">, </w:t>
      </w:r>
      <w:proofErr w:type="spellStart"/>
      <w:r w:rsidRPr="00A67523">
        <w:rPr>
          <w:rFonts w:ascii="Arial" w:hAnsi="Arial" w:cs="Arial"/>
          <w:sz w:val="16"/>
          <w:szCs w:val="16"/>
          <w:lang w:val="fr-CH"/>
        </w:rPr>
        <w:t>Kuoni</w:t>
      </w:r>
      <w:proofErr w:type="spellEnd"/>
      <w:r w:rsidRPr="00A67523">
        <w:rPr>
          <w:rFonts w:ascii="Arial" w:hAnsi="Arial" w:cs="Arial"/>
          <w:sz w:val="16"/>
          <w:szCs w:val="16"/>
          <w:lang w:val="fr-CH"/>
        </w:rPr>
        <w:t xml:space="preserve">, </w:t>
      </w:r>
      <w:proofErr w:type="spellStart"/>
      <w:r w:rsidRPr="00A67523">
        <w:rPr>
          <w:rFonts w:ascii="Arial" w:hAnsi="Arial" w:cs="Arial"/>
          <w:sz w:val="16"/>
          <w:szCs w:val="16"/>
          <w:lang w:val="fr-CH"/>
        </w:rPr>
        <w:t>Lindt</w:t>
      </w:r>
      <w:proofErr w:type="spellEnd"/>
      <w:r w:rsidRPr="00A67523">
        <w:rPr>
          <w:rFonts w:ascii="Arial" w:hAnsi="Arial" w:cs="Arial"/>
          <w:sz w:val="16"/>
          <w:szCs w:val="16"/>
          <w:lang w:val="fr-CH"/>
        </w:rPr>
        <w:t xml:space="preserve"> &amp; </w:t>
      </w:r>
      <w:proofErr w:type="spellStart"/>
      <w:r w:rsidRPr="00A67523">
        <w:rPr>
          <w:rFonts w:ascii="Arial" w:hAnsi="Arial" w:cs="Arial"/>
          <w:sz w:val="16"/>
          <w:szCs w:val="16"/>
          <w:lang w:val="fr-CH"/>
        </w:rPr>
        <w:t>Sprüngli</w:t>
      </w:r>
      <w:proofErr w:type="spellEnd"/>
      <w:r w:rsidRPr="00A67523">
        <w:rPr>
          <w:rFonts w:ascii="Arial" w:hAnsi="Arial" w:cs="Arial"/>
          <w:sz w:val="16"/>
          <w:szCs w:val="16"/>
          <w:lang w:val="fr-CH"/>
        </w:rPr>
        <w:t xml:space="preserve">, </w:t>
      </w:r>
      <w:proofErr w:type="spellStart"/>
      <w:r w:rsidRPr="00A67523">
        <w:rPr>
          <w:rFonts w:ascii="Arial" w:hAnsi="Arial" w:cs="Arial"/>
          <w:sz w:val="16"/>
          <w:szCs w:val="16"/>
          <w:lang w:val="fr-CH"/>
        </w:rPr>
        <w:t>Lonza</w:t>
      </w:r>
      <w:proofErr w:type="spellEnd"/>
      <w:r w:rsidRPr="00A67523">
        <w:rPr>
          <w:rFonts w:ascii="Arial" w:hAnsi="Arial" w:cs="Arial"/>
          <w:sz w:val="16"/>
          <w:szCs w:val="16"/>
          <w:lang w:val="fr-CH"/>
        </w:rPr>
        <w:t xml:space="preserve">, Migros, Nestlé, Novartis, </w:t>
      </w:r>
      <w:proofErr w:type="spellStart"/>
      <w:r w:rsidRPr="00A67523">
        <w:rPr>
          <w:rFonts w:ascii="Arial" w:hAnsi="Arial" w:cs="Arial"/>
          <w:sz w:val="16"/>
          <w:szCs w:val="16"/>
          <w:lang w:val="fr-CH"/>
        </w:rPr>
        <w:t>Oerlikon</w:t>
      </w:r>
      <w:proofErr w:type="spellEnd"/>
      <w:r w:rsidRPr="00A67523">
        <w:rPr>
          <w:rFonts w:ascii="Arial" w:hAnsi="Arial" w:cs="Arial"/>
          <w:sz w:val="16"/>
          <w:szCs w:val="16"/>
          <w:lang w:val="fr-CH"/>
        </w:rPr>
        <w:t xml:space="preserve">, La Poste, Roche, RUAG, Schindler, Swatch, </w:t>
      </w:r>
      <w:proofErr w:type="spellStart"/>
      <w:r w:rsidRPr="00A67523">
        <w:rPr>
          <w:rFonts w:ascii="Arial" w:hAnsi="Arial" w:cs="Arial"/>
          <w:sz w:val="16"/>
          <w:szCs w:val="16"/>
          <w:lang w:val="fr-CH"/>
        </w:rPr>
        <w:t>Swiss</w:t>
      </w:r>
      <w:proofErr w:type="spellEnd"/>
      <w:r w:rsidRPr="00A67523">
        <w:rPr>
          <w:rFonts w:ascii="Arial" w:hAnsi="Arial" w:cs="Arial"/>
          <w:sz w:val="16"/>
          <w:szCs w:val="16"/>
          <w:lang w:val="fr-CH"/>
        </w:rPr>
        <w:t xml:space="preserve"> Life, Swisscom, UBS, </w:t>
      </w:r>
      <w:proofErr w:type="spellStart"/>
      <w:r w:rsidRPr="00A67523">
        <w:rPr>
          <w:rFonts w:ascii="Arial" w:hAnsi="Arial" w:cs="Arial"/>
          <w:sz w:val="16"/>
          <w:szCs w:val="16"/>
          <w:lang w:val="fr-CH"/>
        </w:rPr>
        <w:t>Valora</w:t>
      </w:r>
      <w:proofErr w:type="spellEnd"/>
      <w:r w:rsidRPr="00A67523">
        <w:rPr>
          <w:rFonts w:ascii="Arial" w:hAnsi="Arial" w:cs="Arial"/>
          <w:sz w:val="16"/>
          <w:szCs w:val="16"/>
          <w:lang w:val="fr-CH"/>
        </w:rPr>
        <w:t xml:space="preserve"> et Zurich.</w:t>
      </w:r>
      <w:r w:rsidRPr="00A67523">
        <w:rPr>
          <w:rFonts w:ascii="Arial" w:hAnsi="Arial" w:cs="Arial"/>
          <w:sz w:val="16"/>
          <w:szCs w:val="16"/>
        </w:rPr>
        <w:t xml:space="preserve"> </w:t>
      </w:r>
    </w:p>
  </w:footnote>
  <w:footnote w:id="2">
    <w:p w:rsidR="006F79E8" w:rsidRPr="00A67523" w:rsidRDefault="006F79E8" w:rsidP="00FC3FCA">
      <w:pPr>
        <w:pStyle w:val="Funotentext"/>
        <w:ind w:left="142" w:hanging="142"/>
        <w:rPr>
          <w:rFonts w:ascii="Arial" w:hAnsi="Arial" w:cs="Arial"/>
          <w:sz w:val="16"/>
          <w:szCs w:val="16"/>
          <w:lang w:val="fr-CH"/>
        </w:rPr>
      </w:pPr>
      <w:r w:rsidRPr="00A67523">
        <w:rPr>
          <w:rStyle w:val="Funotenzeichen"/>
          <w:rFonts w:ascii="Arial" w:hAnsi="Arial" w:cs="Arial"/>
          <w:sz w:val="16"/>
          <w:szCs w:val="16"/>
        </w:rPr>
        <w:footnoteRef/>
      </w:r>
      <w:r w:rsidRPr="00A67523">
        <w:rPr>
          <w:rFonts w:ascii="Arial" w:hAnsi="Arial" w:cs="Arial"/>
          <w:sz w:val="16"/>
          <w:szCs w:val="16"/>
          <w:lang w:val="fr-CH"/>
        </w:rPr>
        <w:t xml:space="preserve"> La branche de l’industrie chimique et pharmaceutique, les banques, le commerce de détail, les anciennes entreprises d’État, l’industrie des machines, des produits alimentaires, de la construction, des voyages et de l’horlogerie.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26F86"/>
    <w:multiLevelType w:val="hybridMultilevel"/>
    <w:tmpl w:val="1F2C26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E255839"/>
    <w:multiLevelType w:val="hybridMultilevel"/>
    <w:tmpl w:val="E78C977C"/>
    <w:lvl w:ilvl="0" w:tplc="01FED932">
      <w:numFmt w:val="bullet"/>
      <w:lvlText w:val="-"/>
      <w:lvlJc w:val="left"/>
      <w:pPr>
        <w:ind w:left="720" w:hanging="360"/>
      </w:pPr>
      <w:rPr>
        <w:rFonts w:ascii="Century Gothic" w:eastAsia="Times New Roman" w:hAnsi="Century Gothic"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BA4D0A"/>
    <w:multiLevelType w:val="hybridMultilevel"/>
    <w:tmpl w:val="733A040A"/>
    <w:lvl w:ilvl="0" w:tplc="CDD634F2">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197"/>
    <w:rsid w:val="0000030D"/>
    <w:rsid w:val="00027EB7"/>
    <w:rsid w:val="000553AE"/>
    <w:rsid w:val="0007269E"/>
    <w:rsid w:val="000B3197"/>
    <w:rsid w:val="000B4CA5"/>
    <w:rsid w:val="000D3B23"/>
    <w:rsid w:val="000F0636"/>
    <w:rsid w:val="001173F6"/>
    <w:rsid w:val="00124BC6"/>
    <w:rsid w:val="001315AF"/>
    <w:rsid w:val="00135315"/>
    <w:rsid w:val="001436F6"/>
    <w:rsid w:val="00157C6C"/>
    <w:rsid w:val="00173F3D"/>
    <w:rsid w:val="0017480B"/>
    <w:rsid w:val="00182546"/>
    <w:rsid w:val="00190A2F"/>
    <w:rsid w:val="001B2171"/>
    <w:rsid w:val="001B46A0"/>
    <w:rsid w:val="001C00C5"/>
    <w:rsid w:val="00206400"/>
    <w:rsid w:val="00211F97"/>
    <w:rsid w:val="002132C9"/>
    <w:rsid w:val="00215F8A"/>
    <w:rsid w:val="00227092"/>
    <w:rsid w:val="0024318F"/>
    <w:rsid w:val="00250FD5"/>
    <w:rsid w:val="00281FA9"/>
    <w:rsid w:val="00284EB2"/>
    <w:rsid w:val="002A3B8D"/>
    <w:rsid w:val="002D1D4F"/>
    <w:rsid w:val="002F10C6"/>
    <w:rsid w:val="0034526B"/>
    <w:rsid w:val="003560A8"/>
    <w:rsid w:val="0036763F"/>
    <w:rsid w:val="00386FB9"/>
    <w:rsid w:val="003942FD"/>
    <w:rsid w:val="00397320"/>
    <w:rsid w:val="003F1DC7"/>
    <w:rsid w:val="00433BB8"/>
    <w:rsid w:val="004441C0"/>
    <w:rsid w:val="004816E8"/>
    <w:rsid w:val="00496D8B"/>
    <w:rsid w:val="004B04EB"/>
    <w:rsid w:val="005070EA"/>
    <w:rsid w:val="005444FE"/>
    <w:rsid w:val="005535D6"/>
    <w:rsid w:val="00556DEA"/>
    <w:rsid w:val="00557A33"/>
    <w:rsid w:val="00580193"/>
    <w:rsid w:val="005860FD"/>
    <w:rsid w:val="005F207C"/>
    <w:rsid w:val="005F66D8"/>
    <w:rsid w:val="00600490"/>
    <w:rsid w:val="00613D62"/>
    <w:rsid w:val="00614C51"/>
    <w:rsid w:val="00654CE6"/>
    <w:rsid w:val="00656C49"/>
    <w:rsid w:val="006751DF"/>
    <w:rsid w:val="006A5017"/>
    <w:rsid w:val="006A5157"/>
    <w:rsid w:val="006B35EB"/>
    <w:rsid w:val="006C4097"/>
    <w:rsid w:val="006E492F"/>
    <w:rsid w:val="006F79E8"/>
    <w:rsid w:val="00712072"/>
    <w:rsid w:val="00715F2E"/>
    <w:rsid w:val="00730E91"/>
    <w:rsid w:val="0074236A"/>
    <w:rsid w:val="00747FFB"/>
    <w:rsid w:val="007660EB"/>
    <w:rsid w:val="007A1FA2"/>
    <w:rsid w:val="007A2047"/>
    <w:rsid w:val="007F0045"/>
    <w:rsid w:val="00856880"/>
    <w:rsid w:val="008571A1"/>
    <w:rsid w:val="00870335"/>
    <w:rsid w:val="008716EF"/>
    <w:rsid w:val="0088327A"/>
    <w:rsid w:val="00883388"/>
    <w:rsid w:val="00894E18"/>
    <w:rsid w:val="008A4B06"/>
    <w:rsid w:val="008B28DC"/>
    <w:rsid w:val="008C2696"/>
    <w:rsid w:val="008E5D60"/>
    <w:rsid w:val="008E7410"/>
    <w:rsid w:val="008F62DA"/>
    <w:rsid w:val="008F6A10"/>
    <w:rsid w:val="00903C9D"/>
    <w:rsid w:val="009063F2"/>
    <w:rsid w:val="00941ACE"/>
    <w:rsid w:val="00942D64"/>
    <w:rsid w:val="0096431F"/>
    <w:rsid w:val="0098160D"/>
    <w:rsid w:val="009A48F9"/>
    <w:rsid w:val="009B7666"/>
    <w:rsid w:val="009B7684"/>
    <w:rsid w:val="009C2871"/>
    <w:rsid w:val="009E4198"/>
    <w:rsid w:val="00A062CE"/>
    <w:rsid w:val="00A376C1"/>
    <w:rsid w:val="00A421B8"/>
    <w:rsid w:val="00A44F5F"/>
    <w:rsid w:val="00A5031A"/>
    <w:rsid w:val="00A503ED"/>
    <w:rsid w:val="00A67523"/>
    <w:rsid w:val="00AB5FF3"/>
    <w:rsid w:val="00AC6AD5"/>
    <w:rsid w:val="00AF6D09"/>
    <w:rsid w:val="00AF7A4E"/>
    <w:rsid w:val="00B27429"/>
    <w:rsid w:val="00B332CC"/>
    <w:rsid w:val="00B52E7B"/>
    <w:rsid w:val="00B6740E"/>
    <w:rsid w:val="00BF5CC2"/>
    <w:rsid w:val="00BF6BB8"/>
    <w:rsid w:val="00BF6F70"/>
    <w:rsid w:val="00C01126"/>
    <w:rsid w:val="00C11C76"/>
    <w:rsid w:val="00C14D76"/>
    <w:rsid w:val="00C50467"/>
    <w:rsid w:val="00C667CD"/>
    <w:rsid w:val="00C84CB3"/>
    <w:rsid w:val="00CE07D4"/>
    <w:rsid w:val="00CE31CD"/>
    <w:rsid w:val="00D12B1C"/>
    <w:rsid w:val="00D3112F"/>
    <w:rsid w:val="00D47F08"/>
    <w:rsid w:val="00D82155"/>
    <w:rsid w:val="00DA3852"/>
    <w:rsid w:val="00DB4999"/>
    <w:rsid w:val="00DB55F1"/>
    <w:rsid w:val="00DC6976"/>
    <w:rsid w:val="00DD2699"/>
    <w:rsid w:val="00DE7D32"/>
    <w:rsid w:val="00E042FE"/>
    <w:rsid w:val="00E10668"/>
    <w:rsid w:val="00E15D9A"/>
    <w:rsid w:val="00E74B12"/>
    <w:rsid w:val="00E84BEA"/>
    <w:rsid w:val="00E85749"/>
    <w:rsid w:val="00EA1AF5"/>
    <w:rsid w:val="00EB0FC6"/>
    <w:rsid w:val="00EB19E3"/>
    <w:rsid w:val="00EB33E4"/>
    <w:rsid w:val="00EF7FA8"/>
    <w:rsid w:val="00F14734"/>
    <w:rsid w:val="00F201F7"/>
    <w:rsid w:val="00F26F3B"/>
    <w:rsid w:val="00F32E4E"/>
    <w:rsid w:val="00F371D8"/>
    <w:rsid w:val="00F56D5D"/>
    <w:rsid w:val="00F90292"/>
    <w:rsid w:val="00F911CE"/>
    <w:rsid w:val="00FB3A73"/>
    <w:rsid w:val="00FC3FCA"/>
    <w:rsid w:val="00FC52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6D5847-97F6-49D3-AB07-2EEDEEBC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cs="Calibri"/>
      <w:lang w:val="de-CH" w:eastAsia="en-US"/>
    </w:rPr>
  </w:style>
  <w:style w:type="paragraph" w:styleId="berschrift4">
    <w:name w:val="heading 4"/>
    <w:aliases w:val="TS 1"/>
    <w:basedOn w:val="Standard"/>
    <w:next w:val="Standard"/>
    <w:link w:val="berschrift4Zchn"/>
    <w:uiPriority w:val="99"/>
    <w:qFormat/>
    <w:rsid w:val="000553AE"/>
    <w:pPr>
      <w:keepNext/>
      <w:keepLines/>
      <w:spacing w:before="40" w:after="0"/>
      <w:outlineLvl w:val="3"/>
    </w:pPr>
    <w:rPr>
      <w:rFonts w:ascii="Calibri Light" w:eastAsia="Times New Roman" w:hAnsi="Calibri Light" w:cs="Calibri Light"/>
      <w:i/>
      <w:iCs/>
      <w:color w:val="2E74B5"/>
    </w:rPr>
  </w:style>
  <w:style w:type="paragraph" w:styleId="berschrift5">
    <w:name w:val="heading 5"/>
    <w:aliases w:val="Überschrift 5ts2"/>
    <w:basedOn w:val="Standard"/>
    <w:next w:val="Standard"/>
    <w:link w:val="berschrift5Zchn"/>
    <w:uiPriority w:val="99"/>
    <w:qFormat/>
    <w:rsid w:val="000553AE"/>
    <w:pPr>
      <w:keepNext/>
      <w:keepLines/>
      <w:spacing w:before="40" w:after="0"/>
      <w:outlineLvl w:val="4"/>
    </w:pPr>
    <w:rPr>
      <w:rFonts w:ascii="Calibri Light" w:eastAsia="Times New Roman" w:hAnsi="Calibri Light" w:cs="Calibri Light"/>
      <w:color w:val="2E74B5"/>
    </w:rPr>
  </w:style>
  <w:style w:type="paragraph" w:styleId="berschrift6">
    <w:name w:val="heading 6"/>
    <w:aliases w:val="TS3"/>
    <w:basedOn w:val="Standard"/>
    <w:next w:val="Standard"/>
    <w:link w:val="berschrift6Zchn"/>
    <w:uiPriority w:val="99"/>
    <w:qFormat/>
    <w:rsid w:val="000553AE"/>
    <w:pPr>
      <w:keepNext/>
      <w:keepLines/>
      <w:spacing w:before="40" w:after="0"/>
      <w:outlineLvl w:val="5"/>
    </w:pPr>
    <w:rPr>
      <w:rFonts w:ascii="Calibri Light" w:eastAsia="Times New Roman" w:hAnsi="Calibri Light" w:cs="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aliases w:val="TS 1 Zchn"/>
    <w:basedOn w:val="Absatz-Standardschriftart"/>
    <w:link w:val="berschrift4"/>
    <w:uiPriority w:val="99"/>
    <w:semiHidden/>
    <w:rsid w:val="000553AE"/>
    <w:rPr>
      <w:rFonts w:ascii="Calibri Light" w:hAnsi="Calibri Light" w:cs="Calibri Light"/>
      <w:i/>
      <w:iCs/>
      <w:color w:val="2E74B5"/>
    </w:rPr>
  </w:style>
  <w:style w:type="character" w:customStyle="1" w:styleId="berschrift5Zchn">
    <w:name w:val="Überschrift 5 Zchn"/>
    <w:aliases w:val="Überschrift 5ts2 Zchn"/>
    <w:basedOn w:val="Absatz-Standardschriftart"/>
    <w:link w:val="berschrift5"/>
    <w:uiPriority w:val="99"/>
    <w:semiHidden/>
    <w:rsid w:val="000553AE"/>
    <w:rPr>
      <w:rFonts w:ascii="Calibri Light" w:hAnsi="Calibri Light" w:cs="Calibri Light"/>
      <w:color w:val="2E74B5"/>
    </w:rPr>
  </w:style>
  <w:style w:type="character" w:customStyle="1" w:styleId="berschrift6Zchn">
    <w:name w:val="Überschrift 6 Zchn"/>
    <w:aliases w:val="TS3 Zchn"/>
    <w:basedOn w:val="Absatz-Standardschriftart"/>
    <w:link w:val="berschrift6"/>
    <w:uiPriority w:val="99"/>
    <w:semiHidden/>
    <w:rsid w:val="000553AE"/>
    <w:rPr>
      <w:rFonts w:ascii="Calibri Light" w:hAnsi="Calibri Light" w:cs="Calibri Light"/>
      <w:color w:val="1F4D78"/>
    </w:rPr>
  </w:style>
  <w:style w:type="paragraph" w:styleId="Listenabsatz">
    <w:name w:val="List Paragraph"/>
    <w:basedOn w:val="Standard"/>
    <w:uiPriority w:val="99"/>
    <w:qFormat/>
    <w:rsid w:val="0017480B"/>
    <w:pPr>
      <w:ind w:left="720"/>
      <w:contextualSpacing/>
    </w:pPr>
  </w:style>
  <w:style w:type="paragraph" w:styleId="Funotentext">
    <w:name w:val="footnote text"/>
    <w:basedOn w:val="Standard"/>
    <w:link w:val="FunotentextZchn"/>
    <w:uiPriority w:val="99"/>
    <w:semiHidden/>
    <w:rsid w:val="005070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0EA"/>
    <w:rPr>
      <w:sz w:val="20"/>
      <w:szCs w:val="20"/>
    </w:rPr>
  </w:style>
  <w:style w:type="character" w:styleId="Funotenzeichen">
    <w:name w:val="footnote reference"/>
    <w:basedOn w:val="Absatz-Standardschriftart"/>
    <w:uiPriority w:val="99"/>
    <w:semiHidden/>
    <w:rsid w:val="005070EA"/>
    <w:rPr>
      <w:vertAlign w:val="superscript"/>
    </w:rPr>
  </w:style>
  <w:style w:type="paragraph" w:styleId="Sprechblasentext">
    <w:name w:val="Balloon Text"/>
    <w:basedOn w:val="Standard"/>
    <w:link w:val="SprechblasentextZchn"/>
    <w:uiPriority w:val="99"/>
    <w:semiHidden/>
    <w:rsid w:val="005F20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207C"/>
    <w:rPr>
      <w:rFonts w:ascii="Segoe UI" w:hAnsi="Segoe UI" w:cs="Segoe UI"/>
      <w:sz w:val="18"/>
      <w:szCs w:val="18"/>
    </w:rPr>
  </w:style>
  <w:style w:type="character" w:customStyle="1" w:styleId="tw4winMark">
    <w:name w:val="tw4winMark"/>
    <w:uiPriority w:val="99"/>
    <w:rsid w:val="001C00C5"/>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Marty</dc:creator>
  <cp:keywords/>
  <dc:description/>
  <cp:lastModifiedBy>Linda Rosenkranz</cp:lastModifiedBy>
  <cp:revision>111</cp:revision>
  <cp:lastPrinted>2015-06-10T06:26:00Z</cp:lastPrinted>
  <dcterms:created xsi:type="dcterms:W3CDTF">2015-06-02T12:25:00Z</dcterms:created>
  <dcterms:modified xsi:type="dcterms:W3CDTF">2015-06-17T09:11:00Z</dcterms:modified>
</cp:coreProperties>
</file>