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85" w:rsidRDefault="00C42A85" w:rsidP="00F451F3">
      <w:pPr>
        <w:spacing w:after="0" w:line="360" w:lineRule="exact"/>
        <w:rPr>
          <w:rFonts w:ascii="Arial" w:hAnsi="Arial" w:cs="Arial"/>
          <w:b/>
          <w:sz w:val="30"/>
          <w:szCs w:val="30"/>
        </w:rPr>
      </w:pPr>
    </w:p>
    <w:p w:rsidR="00C42A85" w:rsidRDefault="00C42A85" w:rsidP="00F451F3">
      <w:pPr>
        <w:spacing w:after="0" w:line="360" w:lineRule="exact"/>
        <w:rPr>
          <w:rFonts w:ascii="Arial" w:hAnsi="Arial" w:cs="Arial"/>
          <w:b/>
          <w:sz w:val="30"/>
          <w:szCs w:val="30"/>
        </w:rPr>
      </w:pPr>
    </w:p>
    <w:p w:rsidR="00C42A85" w:rsidRDefault="00C42A85" w:rsidP="00F451F3">
      <w:pPr>
        <w:spacing w:after="0" w:line="360" w:lineRule="exact"/>
        <w:rPr>
          <w:rFonts w:ascii="Arial" w:hAnsi="Arial" w:cs="Arial"/>
          <w:b/>
          <w:sz w:val="30"/>
          <w:szCs w:val="30"/>
        </w:rPr>
      </w:pPr>
    </w:p>
    <w:p w:rsidR="0009765A" w:rsidRDefault="0009765A" w:rsidP="0009765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C42A85" w:rsidRDefault="00C42A85" w:rsidP="0009765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C42A85">
        <w:rPr>
          <w:rFonts w:ascii="Arial" w:hAnsi="Arial" w:cs="Arial"/>
          <w:sz w:val="20"/>
          <w:szCs w:val="20"/>
        </w:rPr>
        <w:t xml:space="preserve">Bern, </w:t>
      </w:r>
      <w:r w:rsidR="00BB2C4C">
        <w:rPr>
          <w:rFonts w:ascii="Arial" w:hAnsi="Arial" w:cs="Arial"/>
          <w:sz w:val="20"/>
          <w:szCs w:val="20"/>
        </w:rPr>
        <w:t>im</w:t>
      </w:r>
      <w:r w:rsidRPr="00C42A85">
        <w:rPr>
          <w:rFonts w:ascii="Arial" w:hAnsi="Arial" w:cs="Arial"/>
          <w:sz w:val="20"/>
          <w:szCs w:val="20"/>
        </w:rPr>
        <w:t xml:space="preserve"> Juni 2019</w:t>
      </w:r>
    </w:p>
    <w:p w:rsidR="0009765A" w:rsidRPr="00C42A85" w:rsidRDefault="0009765A" w:rsidP="0009765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21FED" w:rsidRPr="004F6CEE" w:rsidRDefault="00C42A85" w:rsidP="00F451F3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B15FB5">
        <w:rPr>
          <w:rFonts w:cs="Arial"/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4B4A3A09" wp14:editId="79A14781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686050" cy="609600"/>
            <wp:effectExtent l="0" t="0" r="0" b="0"/>
            <wp:wrapSquare wrapText="bothSides"/>
            <wp:docPr id="1" name="Grafik 1" descr="T:\INITIATIVE VATERSCHAFTSURLAUB\Logos\Reindaten_Logo_VA\strich\office\dfi\strich_dfi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ITIATIVE VATERSCHAFTSURLAUB\Logos\Reindaten_Logo_VA\strich\office\dfi\strich_dfi_rgb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65A">
        <w:rPr>
          <w:rFonts w:ascii="Arial" w:hAnsi="Arial" w:cs="Arial"/>
          <w:b/>
          <w:sz w:val="30"/>
          <w:szCs w:val="30"/>
        </w:rPr>
        <w:t xml:space="preserve">Direkte und indirekte Kosten eines </w:t>
      </w:r>
      <w:r w:rsidR="004F6CEE" w:rsidRPr="004F6CEE">
        <w:rPr>
          <w:rFonts w:ascii="Arial" w:hAnsi="Arial" w:cs="Arial"/>
          <w:b/>
          <w:sz w:val="30"/>
          <w:szCs w:val="30"/>
        </w:rPr>
        <w:t>Vaterschaftsurlaub</w:t>
      </w:r>
      <w:r w:rsidR="0009765A">
        <w:rPr>
          <w:rFonts w:ascii="Arial" w:hAnsi="Arial" w:cs="Arial"/>
          <w:b/>
          <w:sz w:val="30"/>
          <w:szCs w:val="30"/>
        </w:rPr>
        <w:t>s</w:t>
      </w:r>
      <w:r w:rsidR="004F6CEE" w:rsidRPr="004F6CEE">
        <w:rPr>
          <w:rFonts w:ascii="Arial" w:hAnsi="Arial" w:cs="Arial"/>
          <w:b/>
          <w:sz w:val="30"/>
          <w:szCs w:val="30"/>
        </w:rPr>
        <w:t xml:space="preserve"> </w:t>
      </w:r>
    </w:p>
    <w:p w:rsidR="004F6CEE" w:rsidRDefault="004F6CEE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F6CEE" w:rsidRDefault="001B247A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451F3">
        <w:rPr>
          <w:rFonts w:ascii="Arial" w:hAnsi="Arial" w:cs="Arial"/>
          <w:b/>
          <w:sz w:val="20"/>
          <w:szCs w:val="20"/>
        </w:rPr>
        <w:t xml:space="preserve">Am 11. Juni veröffentlichte </w:t>
      </w:r>
      <w:r w:rsidR="00F451F3" w:rsidRPr="00F451F3">
        <w:rPr>
          <w:rFonts w:ascii="Arial" w:hAnsi="Arial" w:cs="Arial"/>
          <w:b/>
          <w:sz w:val="20"/>
          <w:szCs w:val="20"/>
        </w:rPr>
        <w:t>der Tages-Anzeiger</w:t>
      </w:r>
      <w:r w:rsidRPr="00F451F3">
        <w:rPr>
          <w:rFonts w:ascii="Arial" w:hAnsi="Arial" w:cs="Arial"/>
          <w:b/>
          <w:sz w:val="20"/>
          <w:szCs w:val="20"/>
        </w:rPr>
        <w:t xml:space="preserve"> den Artikel „</w:t>
      </w:r>
      <w:r w:rsidR="00F451F3" w:rsidRPr="00F451F3">
        <w:rPr>
          <w:rFonts w:ascii="Arial" w:hAnsi="Arial" w:cs="Arial"/>
          <w:b/>
          <w:sz w:val="20"/>
          <w:szCs w:val="20"/>
        </w:rPr>
        <w:t>Vaterschaftsurlaub droht teurer zu werden als geplant“</w:t>
      </w:r>
      <w:r w:rsidRPr="00F451F3">
        <w:rPr>
          <w:rFonts w:ascii="Arial" w:hAnsi="Arial" w:cs="Arial"/>
          <w:b/>
          <w:sz w:val="20"/>
          <w:szCs w:val="20"/>
        </w:rPr>
        <w:t xml:space="preserve">. Darin wird auf Zahlen des Staatssekretariats für Wirtschaft (Seco) verwiesen, </w:t>
      </w:r>
      <w:r w:rsidR="00F451F3" w:rsidRPr="00F451F3">
        <w:rPr>
          <w:rFonts w:ascii="Arial" w:hAnsi="Arial" w:cs="Arial"/>
          <w:b/>
          <w:sz w:val="20"/>
          <w:szCs w:val="20"/>
        </w:rPr>
        <w:t>die</w:t>
      </w:r>
      <w:r w:rsidRPr="00F451F3">
        <w:rPr>
          <w:rFonts w:ascii="Arial" w:hAnsi="Arial" w:cs="Arial"/>
          <w:b/>
          <w:sz w:val="20"/>
          <w:szCs w:val="20"/>
        </w:rPr>
        <w:t xml:space="preserve"> zeigen </w:t>
      </w:r>
      <w:r w:rsidR="00F451F3" w:rsidRPr="00F451F3">
        <w:rPr>
          <w:rFonts w:ascii="Arial" w:hAnsi="Arial" w:cs="Arial"/>
          <w:b/>
          <w:sz w:val="20"/>
          <w:szCs w:val="20"/>
        </w:rPr>
        <w:t>sollen</w:t>
      </w:r>
      <w:r w:rsidRPr="00F451F3">
        <w:rPr>
          <w:rFonts w:ascii="Arial" w:hAnsi="Arial" w:cs="Arial"/>
          <w:b/>
          <w:sz w:val="20"/>
          <w:szCs w:val="20"/>
        </w:rPr>
        <w:t>, dass die „wahren“ Kosten des Vaterschaftsurlaubs deutlich höher liegen</w:t>
      </w:r>
      <w:r w:rsidR="0009765A">
        <w:rPr>
          <w:rFonts w:ascii="Arial" w:hAnsi="Arial" w:cs="Arial"/>
          <w:b/>
          <w:sz w:val="20"/>
          <w:szCs w:val="20"/>
        </w:rPr>
        <w:t xml:space="preserve"> - </w:t>
      </w:r>
      <w:r w:rsidR="00F451F3" w:rsidRPr="00F451F3">
        <w:rPr>
          <w:rFonts w:ascii="Arial" w:hAnsi="Arial" w:cs="Arial"/>
          <w:b/>
          <w:sz w:val="20"/>
          <w:szCs w:val="20"/>
        </w:rPr>
        <w:t xml:space="preserve">bei </w:t>
      </w:r>
      <w:r w:rsidR="0009765A">
        <w:rPr>
          <w:rFonts w:ascii="Arial" w:hAnsi="Arial" w:cs="Arial"/>
          <w:b/>
          <w:sz w:val="20"/>
          <w:szCs w:val="20"/>
        </w:rPr>
        <w:t>zwischen 672</w:t>
      </w:r>
      <w:r w:rsidRPr="00F451F3">
        <w:rPr>
          <w:rFonts w:ascii="Arial" w:hAnsi="Arial" w:cs="Arial"/>
          <w:b/>
          <w:sz w:val="20"/>
          <w:szCs w:val="20"/>
        </w:rPr>
        <w:t xml:space="preserve"> und 1.12 Milliarden Franken. </w:t>
      </w:r>
      <w:r w:rsidR="005E140F">
        <w:rPr>
          <w:rFonts w:ascii="Arial" w:hAnsi="Arial" w:cs="Arial"/>
          <w:b/>
          <w:sz w:val="20"/>
          <w:szCs w:val="20"/>
        </w:rPr>
        <w:t>Diese Berechnungen sind jedoch nicht richtig.</w:t>
      </w:r>
    </w:p>
    <w:p w:rsidR="0009765A" w:rsidRDefault="0009765A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B247A" w:rsidRPr="004F6CEE" w:rsidRDefault="00F451F3" w:rsidP="00F451F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Urheber dieser </w:t>
      </w:r>
      <w:r w:rsidR="001B247A" w:rsidRPr="004F6CEE">
        <w:rPr>
          <w:rFonts w:ascii="Arial" w:hAnsi="Arial" w:cs="Arial"/>
          <w:sz w:val="20"/>
          <w:szCs w:val="20"/>
        </w:rPr>
        <w:t xml:space="preserve">„Berechnung“ </w:t>
      </w:r>
      <w:r>
        <w:rPr>
          <w:rFonts w:ascii="Arial" w:hAnsi="Arial" w:cs="Arial"/>
          <w:sz w:val="20"/>
          <w:szCs w:val="20"/>
        </w:rPr>
        <w:t>ist</w:t>
      </w:r>
      <w:r w:rsidR="001B247A" w:rsidRPr="004F6CEE">
        <w:rPr>
          <w:rFonts w:ascii="Arial" w:hAnsi="Arial" w:cs="Arial"/>
          <w:sz w:val="20"/>
          <w:szCs w:val="20"/>
        </w:rPr>
        <w:t xml:space="preserve"> das KMU-Forum</w:t>
      </w:r>
      <w:r>
        <w:rPr>
          <w:rFonts w:ascii="Arial" w:hAnsi="Arial" w:cs="Arial"/>
          <w:sz w:val="20"/>
          <w:szCs w:val="20"/>
        </w:rPr>
        <w:t xml:space="preserve">, </w:t>
      </w:r>
      <w:r w:rsidR="00D617E0" w:rsidRPr="004F6CEE">
        <w:rPr>
          <w:rFonts w:ascii="Arial" w:hAnsi="Arial" w:cs="Arial"/>
          <w:sz w:val="20"/>
          <w:szCs w:val="20"/>
        </w:rPr>
        <w:t xml:space="preserve">eine Kommission von ausserparlamentarischen Expertinnen und Experten, welche die Interessen der KMU in Politik und Verwaltung einbringen soll. Die Zahlen stammen </w:t>
      </w:r>
      <w:r>
        <w:rPr>
          <w:rFonts w:ascii="Arial" w:hAnsi="Arial" w:cs="Arial"/>
          <w:sz w:val="20"/>
          <w:szCs w:val="20"/>
        </w:rPr>
        <w:t>also</w:t>
      </w:r>
      <w:r w:rsidR="00D617E0" w:rsidRPr="004F6CEE">
        <w:rPr>
          <w:rFonts w:ascii="Arial" w:hAnsi="Arial" w:cs="Arial"/>
          <w:sz w:val="20"/>
          <w:szCs w:val="20"/>
        </w:rPr>
        <w:t xml:space="preserve"> nicht vom Seco, wie im Artikel fälschlicherweise </w:t>
      </w:r>
      <w:r>
        <w:rPr>
          <w:rFonts w:ascii="Arial" w:hAnsi="Arial" w:cs="Arial"/>
          <w:sz w:val="20"/>
          <w:szCs w:val="20"/>
        </w:rPr>
        <w:t>behauptet</w:t>
      </w:r>
      <w:r w:rsidR="00D617E0" w:rsidRPr="004F6CEE">
        <w:rPr>
          <w:rFonts w:ascii="Arial" w:hAnsi="Arial" w:cs="Arial"/>
          <w:sz w:val="20"/>
          <w:szCs w:val="20"/>
        </w:rPr>
        <w:t xml:space="preserve"> wird. </w:t>
      </w:r>
    </w:p>
    <w:p w:rsidR="001B247A" w:rsidRPr="004F6CEE" w:rsidRDefault="001B247A" w:rsidP="00F451F3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617E0" w:rsidRPr="004F6CEE" w:rsidRDefault="00F451F3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behauptet das KMU-Forum</w:t>
      </w:r>
    </w:p>
    <w:p w:rsidR="00D617E0" w:rsidRPr="004F6CEE" w:rsidRDefault="00D617E0" w:rsidP="00F451F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F6CEE">
        <w:rPr>
          <w:rFonts w:ascii="Arial" w:hAnsi="Arial" w:cs="Arial"/>
          <w:sz w:val="20"/>
          <w:szCs w:val="20"/>
        </w:rPr>
        <w:t xml:space="preserve">Das KMU-Forum behauptet mit Bezug auf eine Regulierungsfolgenabschätzung zu den pflegebedingten Arbeitsabwesenheiten, dass die indirekten Kosten des Vaterschaftsurlaubes doppelt bis viermal so hoch ausfallen würden. Dies würde für einen </w:t>
      </w:r>
      <w:r w:rsidR="00F451F3">
        <w:rPr>
          <w:rFonts w:ascii="Arial" w:hAnsi="Arial" w:cs="Arial"/>
          <w:sz w:val="20"/>
          <w:szCs w:val="20"/>
        </w:rPr>
        <w:t>10-tägigen</w:t>
      </w:r>
      <w:r w:rsidRPr="004F6CEE">
        <w:rPr>
          <w:rFonts w:ascii="Arial" w:hAnsi="Arial" w:cs="Arial"/>
          <w:sz w:val="20"/>
          <w:szCs w:val="20"/>
        </w:rPr>
        <w:t xml:space="preserve"> Vaterschaftsurlaub zu direkten Kosten in der Höhe von 2</w:t>
      </w:r>
      <w:r w:rsidR="003C010B">
        <w:rPr>
          <w:rFonts w:ascii="Arial" w:hAnsi="Arial" w:cs="Arial"/>
          <w:sz w:val="20"/>
          <w:szCs w:val="20"/>
        </w:rPr>
        <w:t>30</w:t>
      </w:r>
      <w:r w:rsidRPr="004F6CEE">
        <w:rPr>
          <w:rFonts w:ascii="Arial" w:hAnsi="Arial" w:cs="Arial"/>
          <w:sz w:val="20"/>
          <w:szCs w:val="20"/>
        </w:rPr>
        <w:t xml:space="preserve"> Millionen </w:t>
      </w:r>
      <w:r w:rsidR="00F451F3">
        <w:rPr>
          <w:rFonts w:ascii="Arial" w:hAnsi="Arial" w:cs="Arial"/>
          <w:sz w:val="20"/>
          <w:szCs w:val="20"/>
        </w:rPr>
        <w:t>Franken</w:t>
      </w:r>
      <w:r w:rsidR="003C010B" w:rsidRPr="003C010B">
        <w:rPr>
          <w:rFonts w:ascii="Arial" w:hAnsi="Arial" w:cs="Arial"/>
          <w:sz w:val="20"/>
          <w:szCs w:val="20"/>
          <w:vertAlign w:val="superscript"/>
        </w:rPr>
        <w:t>1</w:t>
      </w:r>
      <w:r w:rsidRPr="004F6CEE">
        <w:rPr>
          <w:rFonts w:ascii="Arial" w:hAnsi="Arial" w:cs="Arial"/>
          <w:sz w:val="20"/>
          <w:szCs w:val="20"/>
        </w:rPr>
        <w:t xml:space="preserve"> und zusätzlich indirekten Kosten in der Höhe von 450-900 Millionen </w:t>
      </w:r>
      <w:r w:rsidR="00F451F3">
        <w:rPr>
          <w:rFonts w:ascii="Arial" w:hAnsi="Arial" w:cs="Arial"/>
          <w:sz w:val="20"/>
          <w:szCs w:val="20"/>
        </w:rPr>
        <w:t>Franken</w:t>
      </w:r>
      <w:r w:rsidRPr="004F6CEE">
        <w:rPr>
          <w:rFonts w:ascii="Arial" w:hAnsi="Arial" w:cs="Arial"/>
          <w:sz w:val="20"/>
          <w:szCs w:val="20"/>
        </w:rPr>
        <w:t xml:space="preserve"> führen. Die Gesamtkosten würden in diesem Fall 672 Millionen bis 1.12 Milliarden </w:t>
      </w:r>
      <w:r w:rsidR="00F451F3">
        <w:rPr>
          <w:rFonts w:ascii="Arial" w:hAnsi="Arial" w:cs="Arial"/>
          <w:sz w:val="20"/>
          <w:szCs w:val="20"/>
        </w:rPr>
        <w:t>Franken</w:t>
      </w:r>
      <w:r w:rsidRPr="004F6CEE">
        <w:rPr>
          <w:rFonts w:ascii="Arial" w:hAnsi="Arial" w:cs="Arial"/>
          <w:sz w:val="20"/>
          <w:szCs w:val="20"/>
        </w:rPr>
        <w:t xml:space="preserve"> betragen. </w:t>
      </w:r>
      <w:r w:rsidR="00EB75BA" w:rsidRPr="004F6CEE">
        <w:rPr>
          <w:rFonts w:ascii="Arial" w:hAnsi="Arial" w:cs="Arial"/>
          <w:sz w:val="20"/>
          <w:szCs w:val="20"/>
        </w:rPr>
        <w:t>Aufgru</w:t>
      </w:r>
      <w:r w:rsidR="00F451F3">
        <w:rPr>
          <w:rFonts w:ascii="Arial" w:hAnsi="Arial" w:cs="Arial"/>
          <w:sz w:val="20"/>
          <w:szCs w:val="20"/>
        </w:rPr>
        <w:t xml:space="preserve">nd der Resultate dieser </w:t>
      </w:r>
      <w:r w:rsidR="005E140F">
        <w:rPr>
          <w:rFonts w:ascii="Arial" w:hAnsi="Arial" w:cs="Arial"/>
          <w:sz w:val="20"/>
          <w:szCs w:val="20"/>
        </w:rPr>
        <w:t>„</w:t>
      </w:r>
      <w:r w:rsidR="00F451F3">
        <w:rPr>
          <w:rFonts w:ascii="Arial" w:hAnsi="Arial" w:cs="Arial"/>
          <w:sz w:val="20"/>
          <w:szCs w:val="20"/>
        </w:rPr>
        <w:t>Milchbüe</w:t>
      </w:r>
      <w:r w:rsidR="00EB75BA" w:rsidRPr="004F6CEE">
        <w:rPr>
          <w:rFonts w:ascii="Arial" w:hAnsi="Arial" w:cs="Arial"/>
          <w:sz w:val="20"/>
          <w:szCs w:val="20"/>
        </w:rPr>
        <w:t>chlirechnung</w:t>
      </w:r>
      <w:r w:rsidR="005E140F">
        <w:rPr>
          <w:rFonts w:ascii="Arial" w:hAnsi="Arial" w:cs="Arial"/>
          <w:sz w:val="20"/>
          <w:szCs w:val="20"/>
        </w:rPr>
        <w:t>“</w:t>
      </w:r>
      <w:r w:rsidR="00EB75BA" w:rsidRPr="004F6CEE">
        <w:rPr>
          <w:rFonts w:ascii="Arial" w:hAnsi="Arial" w:cs="Arial"/>
          <w:sz w:val="20"/>
          <w:szCs w:val="20"/>
        </w:rPr>
        <w:t xml:space="preserve"> fordert das KMU-Forum eine genauere Prüfung der indirekten Kosten. </w:t>
      </w:r>
    </w:p>
    <w:p w:rsidR="00D617E0" w:rsidRPr="004F6CEE" w:rsidRDefault="00D617E0" w:rsidP="00F451F3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617E0" w:rsidRPr="004F6CEE" w:rsidRDefault="00C616CC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Warum</w:t>
      </w:r>
      <w:r w:rsidR="00406B48">
        <w:rPr>
          <w:rFonts w:ascii="Arial" w:hAnsi="Arial" w:cs="Arial"/>
          <w:b/>
          <w:sz w:val="20"/>
          <w:szCs w:val="20"/>
        </w:rPr>
        <w:t xml:space="preserve"> das KMU-Forum </w:t>
      </w:r>
      <w:r>
        <w:rPr>
          <w:rFonts w:ascii="Arial" w:hAnsi="Arial" w:cs="Arial"/>
          <w:b/>
          <w:sz w:val="20"/>
          <w:szCs w:val="20"/>
        </w:rPr>
        <w:t xml:space="preserve">unseriös </w:t>
      </w:r>
      <w:r w:rsidR="00406B48">
        <w:rPr>
          <w:rFonts w:ascii="Arial" w:hAnsi="Arial" w:cs="Arial"/>
          <w:b/>
          <w:sz w:val="20"/>
          <w:szCs w:val="20"/>
        </w:rPr>
        <w:t>rechnet</w:t>
      </w:r>
    </w:p>
    <w:p w:rsidR="0009765A" w:rsidRDefault="00FC65A3" w:rsidP="0009765A">
      <w:pPr>
        <w:pStyle w:val="Listenabsatz"/>
        <w:numPr>
          <w:ilvl w:val="0"/>
          <w:numId w:val="3"/>
        </w:numPr>
        <w:spacing w:after="0" w:line="300" w:lineRule="exact"/>
        <w:ind w:left="567" w:hanging="567"/>
        <w:rPr>
          <w:rFonts w:ascii="Arial" w:hAnsi="Arial" w:cs="Arial"/>
          <w:sz w:val="20"/>
          <w:szCs w:val="20"/>
        </w:rPr>
      </w:pPr>
      <w:r w:rsidRPr="0009765A">
        <w:rPr>
          <w:rFonts w:ascii="Arial" w:hAnsi="Arial" w:cs="Arial"/>
          <w:sz w:val="20"/>
          <w:szCs w:val="20"/>
        </w:rPr>
        <w:t xml:space="preserve">Die Berechnungen des </w:t>
      </w:r>
      <w:r w:rsidR="00406B48" w:rsidRPr="0009765A">
        <w:rPr>
          <w:rFonts w:ascii="Arial" w:hAnsi="Arial" w:cs="Arial"/>
          <w:sz w:val="20"/>
          <w:szCs w:val="20"/>
        </w:rPr>
        <w:t>KMU-</w:t>
      </w:r>
      <w:r w:rsidRPr="0009765A">
        <w:rPr>
          <w:rFonts w:ascii="Arial" w:hAnsi="Arial" w:cs="Arial"/>
          <w:sz w:val="20"/>
          <w:szCs w:val="20"/>
        </w:rPr>
        <w:t xml:space="preserve">Forums beruhen auf </w:t>
      </w:r>
      <w:r w:rsidR="007C66E7" w:rsidRPr="0009765A">
        <w:rPr>
          <w:rFonts w:ascii="Arial" w:hAnsi="Arial" w:cs="Arial"/>
          <w:sz w:val="20"/>
          <w:szCs w:val="20"/>
        </w:rPr>
        <w:t>Angaben</w:t>
      </w:r>
      <w:r w:rsidRPr="0009765A">
        <w:rPr>
          <w:rFonts w:ascii="Arial" w:hAnsi="Arial" w:cs="Arial"/>
          <w:sz w:val="20"/>
          <w:szCs w:val="20"/>
        </w:rPr>
        <w:t xml:space="preserve"> aus einer Regulierungsfolgenabschätzung zur Erweiterung der kurzzeitigen pflegebedingten Arbeitsabwesenheiten.</w:t>
      </w:r>
      <w:r w:rsidR="003C010B" w:rsidRPr="0009765A">
        <w:rPr>
          <w:rFonts w:ascii="Arial" w:hAnsi="Arial" w:cs="Arial"/>
          <w:sz w:val="20"/>
          <w:szCs w:val="20"/>
          <w:vertAlign w:val="superscript"/>
        </w:rPr>
        <w:t>2</w:t>
      </w:r>
      <w:r w:rsidR="003C010B" w:rsidRPr="0009765A">
        <w:rPr>
          <w:rFonts w:ascii="Arial" w:hAnsi="Arial" w:cs="Arial"/>
          <w:sz w:val="20"/>
          <w:szCs w:val="20"/>
        </w:rPr>
        <w:t xml:space="preserve"> </w:t>
      </w:r>
      <w:r w:rsidR="00C11779" w:rsidRPr="0009765A">
        <w:rPr>
          <w:rFonts w:ascii="Arial" w:hAnsi="Arial" w:cs="Arial"/>
          <w:sz w:val="20"/>
          <w:szCs w:val="20"/>
        </w:rPr>
        <w:t>In der Regulierungsfolgenabschätzung wiederum werden zwei Studien</w:t>
      </w:r>
      <w:r w:rsidR="003C010B" w:rsidRPr="0009765A">
        <w:rPr>
          <w:rFonts w:ascii="Arial" w:hAnsi="Arial" w:cs="Arial"/>
          <w:sz w:val="20"/>
          <w:szCs w:val="20"/>
          <w:vertAlign w:val="superscript"/>
        </w:rPr>
        <w:t>3</w:t>
      </w:r>
      <w:r w:rsidR="003C010B" w:rsidRPr="0009765A">
        <w:rPr>
          <w:rFonts w:ascii="Arial" w:hAnsi="Arial" w:cs="Arial"/>
          <w:sz w:val="20"/>
          <w:szCs w:val="20"/>
        </w:rPr>
        <w:t xml:space="preserve"> </w:t>
      </w:r>
      <w:r w:rsidR="00C11779" w:rsidRPr="0009765A">
        <w:rPr>
          <w:rFonts w:ascii="Arial" w:hAnsi="Arial" w:cs="Arial"/>
          <w:sz w:val="20"/>
          <w:szCs w:val="20"/>
        </w:rPr>
        <w:t xml:space="preserve">zitiert, welche die indirekten Kosten auf das Doppelte bis Vierfache der direkten Kosten schätzen. </w:t>
      </w:r>
      <w:r w:rsidR="00140580" w:rsidRPr="0009765A">
        <w:rPr>
          <w:rFonts w:ascii="Arial" w:hAnsi="Arial" w:cs="Arial"/>
          <w:sz w:val="20"/>
          <w:szCs w:val="20"/>
        </w:rPr>
        <w:t>Es handelt sich dabei aber um s</w:t>
      </w:r>
      <w:r w:rsidR="00C11779" w:rsidRPr="0009765A">
        <w:rPr>
          <w:rFonts w:ascii="Arial" w:hAnsi="Arial" w:cs="Arial"/>
          <w:sz w:val="20"/>
          <w:szCs w:val="20"/>
        </w:rPr>
        <w:t xml:space="preserve">ehr allgemeine Berechnungen, </w:t>
      </w:r>
      <w:r w:rsidR="00406B48" w:rsidRPr="0009765A">
        <w:rPr>
          <w:rFonts w:ascii="Arial" w:hAnsi="Arial" w:cs="Arial"/>
          <w:sz w:val="20"/>
          <w:szCs w:val="20"/>
        </w:rPr>
        <w:t>die</w:t>
      </w:r>
      <w:r w:rsidR="00C11779" w:rsidRPr="0009765A">
        <w:rPr>
          <w:rFonts w:ascii="Arial" w:hAnsi="Arial" w:cs="Arial"/>
          <w:sz w:val="20"/>
          <w:szCs w:val="20"/>
        </w:rPr>
        <w:t xml:space="preserve"> </w:t>
      </w:r>
      <w:r w:rsidR="00140580" w:rsidRPr="0009765A">
        <w:rPr>
          <w:rFonts w:ascii="Arial" w:hAnsi="Arial" w:cs="Arial"/>
          <w:sz w:val="20"/>
          <w:szCs w:val="20"/>
        </w:rPr>
        <w:t>in keinem</w:t>
      </w:r>
      <w:r w:rsidR="00C11779" w:rsidRPr="0009765A">
        <w:rPr>
          <w:rFonts w:ascii="Arial" w:hAnsi="Arial" w:cs="Arial"/>
          <w:sz w:val="20"/>
          <w:szCs w:val="20"/>
        </w:rPr>
        <w:t xml:space="preserve"> direkten Bezug </w:t>
      </w:r>
      <w:r w:rsidR="00140580" w:rsidRPr="0009765A">
        <w:rPr>
          <w:rFonts w:ascii="Arial" w:hAnsi="Arial" w:cs="Arial"/>
          <w:sz w:val="20"/>
          <w:szCs w:val="20"/>
        </w:rPr>
        <w:t>zu einem</w:t>
      </w:r>
      <w:r w:rsidR="00C11779" w:rsidRPr="0009765A">
        <w:rPr>
          <w:rFonts w:ascii="Arial" w:hAnsi="Arial" w:cs="Arial"/>
          <w:sz w:val="20"/>
          <w:szCs w:val="20"/>
        </w:rPr>
        <w:t xml:space="preserve"> Vaterschaftsurlaub in der Schweiz stehen</w:t>
      </w:r>
      <w:r w:rsidR="00140580" w:rsidRPr="0009765A">
        <w:rPr>
          <w:rFonts w:ascii="Arial" w:hAnsi="Arial" w:cs="Arial"/>
          <w:sz w:val="20"/>
          <w:szCs w:val="20"/>
        </w:rPr>
        <w:t xml:space="preserve">. Die Studie bezieht sich </w:t>
      </w:r>
      <w:r w:rsidR="00C11779" w:rsidRPr="0009765A">
        <w:rPr>
          <w:rFonts w:ascii="Arial" w:hAnsi="Arial" w:cs="Arial"/>
          <w:sz w:val="20"/>
          <w:szCs w:val="20"/>
        </w:rPr>
        <w:t xml:space="preserve">auf kurzfristige, ungeplante, krisenbedingte </w:t>
      </w:r>
      <w:r w:rsidR="00140580" w:rsidRPr="0009765A">
        <w:rPr>
          <w:rFonts w:ascii="Arial" w:hAnsi="Arial" w:cs="Arial"/>
          <w:sz w:val="20"/>
          <w:szCs w:val="20"/>
        </w:rPr>
        <w:t xml:space="preserve">und </w:t>
      </w:r>
      <w:r w:rsidR="00140580" w:rsidRPr="0009765A">
        <w:rPr>
          <w:rFonts w:ascii="Arial" w:hAnsi="Arial" w:cs="Arial"/>
          <w:sz w:val="20"/>
          <w:szCs w:val="20"/>
          <w:u w:val="single"/>
        </w:rPr>
        <w:t>nicht um längerfristige, planbare Abwesenheiten wie bei einem Vaterschaftsurlaub</w:t>
      </w:r>
      <w:r w:rsidR="0009765A">
        <w:rPr>
          <w:rFonts w:ascii="Arial" w:hAnsi="Arial" w:cs="Arial"/>
          <w:sz w:val="20"/>
          <w:szCs w:val="20"/>
        </w:rPr>
        <w:t>.</w:t>
      </w:r>
    </w:p>
    <w:p w:rsidR="00C616CC" w:rsidRPr="0009765A" w:rsidRDefault="00C616CC" w:rsidP="0009765A">
      <w:pPr>
        <w:pStyle w:val="Listenabsatz"/>
        <w:numPr>
          <w:ilvl w:val="0"/>
          <w:numId w:val="3"/>
        </w:numPr>
        <w:spacing w:after="0" w:line="300" w:lineRule="exact"/>
        <w:ind w:left="567" w:hanging="567"/>
        <w:rPr>
          <w:rFonts w:ascii="Arial" w:hAnsi="Arial" w:cs="Arial"/>
          <w:sz w:val="20"/>
          <w:szCs w:val="20"/>
        </w:rPr>
      </w:pPr>
      <w:r w:rsidRPr="0009765A">
        <w:rPr>
          <w:rFonts w:ascii="Arial" w:hAnsi="Arial" w:cs="Arial"/>
          <w:sz w:val="20"/>
          <w:szCs w:val="20"/>
        </w:rPr>
        <w:t xml:space="preserve">Das KMU-Forum tut, als stünde den vermuteten Kosten keine Einsparungen gegenüber. Auf betriebswirtschaftlicher Ebene ist </w:t>
      </w:r>
      <w:r w:rsidR="0009765A">
        <w:rPr>
          <w:rFonts w:ascii="Arial" w:hAnsi="Arial" w:cs="Arial"/>
          <w:sz w:val="20"/>
          <w:szCs w:val="20"/>
        </w:rPr>
        <w:t>aber</w:t>
      </w:r>
      <w:r w:rsidRPr="0009765A">
        <w:rPr>
          <w:rFonts w:ascii="Arial" w:hAnsi="Arial" w:cs="Arial"/>
          <w:sz w:val="20"/>
          <w:szCs w:val="20"/>
        </w:rPr>
        <w:t xml:space="preserve"> insbesondere </w:t>
      </w:r>
      <w:r w:rsidRPr="000976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Einsparungen zu denken, weil krankheits-</w:t>
      </w:r>
      <w:r w:rsidR="0009765A" w:rsidRPr="000976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oder </w:t>
      </w:r>
      <w:r w:rsidRPr="000976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überlastungsbedingte Absenzen und Kündigungen von werdenden Vätern dank des Vaterschaftsurlaubs vermieden oder reduziert werden können. Volkswirtschaftlich wäre eine Vielzahl weiterer Faktoren zu berücksichtigen. </w:t>
      </w:r>
      <w:r w:rsidRPr="0009765A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All diese i</w:t>
      </w:r>
      <w:r w:rsidRPr="0009765A">
        <w:rPr>
          <w:rFonts w:ascii="Arial" w:hAnsi="Arial" w:cs="Arial"/>
          <w:sz w:val="20"/>
          <w:szCs w:val="20"/>
          <w:u w:val="single"/>
        </w:rPr>
        <w:t>ndirekte Einsparungen werden gänzlich unterschlagen.</w:t>
      </w:r>
      <w:r w:rsidRPr="0009765A">
        <w:rPr>
          <w:rFonts w:ascii="Arial" w:hAnsi="Arial" w:cs="Arial"/>
          <w:sz w:val="20"/>
          <w:szCs w:val="20"/>
        </w:rPr>
        <w:t xml:space="preserve"> </w:t>
      </w:r>
    </w:p>
    <w:p w:rsidR="002352C7" w:rsidRPr="0009765A" w:rsidRDefault="0043676B" w:rsidP="0009765A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4F6CEE">
        <w:rPr>
          <w:rFonts w:ascii="Arial" w:hAnsi="Arial" w:cs="Arial"/>
          <w:sz w:val="20"/>
          <w:szCs w:val="20"/>
        </w:rPr>
        <w:t xml:space="preserve">Die genannten Studien bieten keine angemessene Grundlage zur Berechnung möglicher indirekter Kosten eines Vaterschaftsurlaubs. </w:t>
      </w:r>
      <w:r w:rsidR="00406B48">
        <w:rPr>
          <w:rFonts w:ascii="Arial" w:hAnsi="Arial" w:cs="Arial"/>
          <w:sz w:val="20"/>
          <w:szCs w:val="20"/>
        </w:rPr>
        <w:t xml:space="preserve">Unbestritten sind indes </w:t>
      </w:r>
      <w:r w:rsidR="002352C7" w:rsidRPr="004F6CEE">
        <w:rPr>
          <w:rFonts w:ascii="Arial" w:hAnsi="Arial" w:cs="Arial"/>
          <w:sz w:val="20"/>
          <w:szCs w:val="20"/>
        </w:rPr>
        <w:t>die direkten Kosten</w:t>
      </w:r>
      <w:r w:rsidR="00406B48">
        <w:rPr>
          <w:rFonts w:ascii="Arial" w:hAnsi="Arial" w:cs="Arial"/>
          <w:sz w:val="20"/>
          <w:szCs w:val="20"/>
        </w:rPr>
        <w:t xml:space="preserve">, die </w:t>
      </w:r>
      <w:r w:rsidR="002352C7" w:rsidRPr="004F6CEE">
        <w:rPr>
          <w:rFonts w:ascii="Arial" w:hAnsi="Arial" w:cs="Arial"/>
          <w:sz w:val="20"/>
          <w:szCs w:val="20"/>
        </w:rPr>
        <w:t xml:space="preserve">für einen </w:t>
      </w:r>
      <w:r w:rsidR="00406B48">
        <w:rPr>
          <w:rFonts w:ascii="Arial" w:hAnsi="Arial" w:cs="Arial"/>
          <w:sz w:val="20"/>
          <w:szCs w:val="20"/>
        </w:rPr>
        <w:t>10-tägigen</w:t>
      </w:r>
      <w:r w:rsidR="002352C7" w:rsidRPr="004F6CEE">
        <w:rPr>
          <w:rFonts w:ascii="Arial" w:hAnsi="Arial" w:cs="Arial"/>
          <w:sz w:val="20"/>
          <w:szCs w:val="20"/>
        </w:rPr>
        <w:t xml:space="preserve"> Vaterschaftsurlaub gemäss Bundesamt für Sozialversicherungen </w:t>
      </w:r>
      <w:r w:rsidR="003C010B">
        <w:rPr>
          <w:rFonts w:ascii="Arial" w:hAnsi="Arial" w:cs="Arial"/>
          <w:sz w:val="20"/>
          <w:szCs w:val="20"/>
        </w:rPr>
        <w:t xml:space="preserve">230 </w:t>
      </w:r>
      <w:r w:rsidR="002352C7" w:rsidRPr="004F6CEE">
        <w:rPr>
          <w:rFonts w:ascii="Arial" w:hAnsi="Arial" w:cs="Arial"/>
          <w:sz w:val="20"/>
          <w:szCs w:val="20"/>
        </w:rPr>
        <w:t xml:space="preserve">Millionen </w:t>
      </w:r>
      <w:r w:rsidR="00406B48">
        <w:rPr>
          <w:rFonts w:ascii="Arial" w:hAnsi="Arial" w:cs="Arial"/>
          <w:sz w:val="20"/>
          <w:szCs w:val="20"/>
        </w:rPr>
        <w:t>Franken betragen</w:t>
      </w:r>
      <w:r w:rsidR="002352C7" w:rsidRPr="004F6CEE">
        <w:rPr>
          <w:rFonts w:ascii="Arial" w:hAnsi="Arial" w:cs="Arial"/>
          <w:sz w:val="20"/>
          <w:szCs w:val="20"/>
        </w:rPr>
        <w:t xml:space="preserve"> im Jahr. Für einen </w:t>
      </w:r>
      <w:r w:rsidR="00406B48">
        <w:rPr>
          <w:rFonts w:ascii="Arial" w:hAnsi="Arial" w:cs="Arial"/>
          <w:sz w:val="20"/>
          <w:szCs w:val="20"/>
        </w:rPr>
        <w:t>20-tätigen</w:t>
      </w:r>
      <w:r w:rsidR="002352C7" w:rsidRPr="004F6CEE">
        <w:rPr>
          <w:rFonts w:ascii="Arial" w:hAnsi="Arial" w:cs="Arial"/>
          <w:sz w:val="20"/>
          <w:szCs w:val="20"/>
        </w:rPr>
        <w:t xml:space="preserve"> Vaterschaftsurlaub liegen die Kosten entsprechend doppelt so hoch.</w:t>
      </w:r>
      <w:r w:rsidR="003C010B" w:rsidRPr="003C010B">
        <w:rPr>
          <w:rFonts w:ascii="Arial" w:hAnsi="Arial" w:cs="Arial"/>
          <w:sz w:val="20"/>
          <w:szCs w:val="20"/>
          <w:vertAlign w:val="superscript"/>
        </w:rPr>
        <w:t>4</w:t>
      </w:r>
    </w:p>
    <w:p w:rsidR="0009765A" w:rsidRDefault="0009765A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22604" w:rsidRPr="004F6CEE" w:rsidRDefault="00422604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4F6CEE">
        <w:rPr>
          <w:rFonts w:ascii="Arial" w:hAnsi="Arial" w:cs="Arial"/>
          <w:b/>
          <w:sz w:val="20"/>
          <w:szCs w:val="20"/>
        </w:rPr>
        <w:t xml:space="preserve">Was sind indirekte Kosten? </w:t>
      </w:r>
    </w:p>
    <w:p w:rsidR="0043676B" w:rsidRPr="00406B48" w:rsidRDefault="002352C7" w:rsidP="00F451F3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4F6CEE">
        <w:rPr>
          <w:rFonts w:ascii="Arial" w:hAnsi="Arial" w:cs="Arial"/>
          <w:sz w:val="20"/>
          <w:szCs w:val="20"/>
        </w:rPr>
        <w:lastRenderedPageBreak/>
        <w:t xml:space="preserve">Unter </w:t>
      </w:r>
      <w:r w:rsidR="00B67200" w:rsidRPr="004F6CEE">
        <w:rPr>
          <w:rFonts w:ascii="Arial" w:hAnsi="Arial" w:cs="Arial"/>
          <w:sz w:val="20"/>
          <w:szCs w:val="20"/>
        </w:rPr>
        <w:t>in</w:t>
      </w:r>
      <w:r w:rsidRPr="004F6CEE">
        <w:rPr>
          <w:rFonts w:ascii="Arial" w:hAnsi="Arial" w:cs="Arial"/>
          <w:sz w:val="20"/>
          <w:szCs w:val="20"/>
        </w:rPr>
        <w:t xml:space="preserve">direkten Kosten werden </w:t>
      </w:r>
      <w:r w:rsidR="00406B48">
        <w:rPr>
          <w:rFonts w:ascii="Arial" w:hAnsi="Arial" w:cs="Arial"/>
          <w:sz w:val="20"/>
          <w:szCs w:val="20"/>
        </w:rPr>
        <w:t xml:space="preserve">die </w:t>
      </w:r>
      <w:r w:rsidRPr="004F6CEE">
        <w:rPr>
          <w:rFonts w:ascii="Arial" w:hAnsi="Arial" w:cs="Arial"/>
          <w:sz w:val="20"/>
          <w:szCs w:val="20"/>
        </w:rPr>
        <w:t xml:space="preserve">Ausgaben verstanden, </w:t>
      </w:r>
      <w:r w:rsidR="00406B48">
        <w:rPr>
          <w:rFonts w:ascii="Arial" w:hAnsi="Arial" w:cs="Arial"/>
          <w:sz w:val="20"/>
          <w:szCs w:val="20"/>
        </w:rPr>
        <w:t>die</w:t>
      </w:r>
      <w:r w:rsidRPr="004F6CEE">
        <w:rPr>
          <w:rFonts w:ascii="Arial" w:hAnsi="Arial" w:cs="Arial"/>
          <w:sz w:val="20"/>
          <w:szCs w:val="20"/>
        </w:rPr>
        <w:t xml:space="preserve"> zwar anfallen, aber nicht direkt auf die neue Regulierung zurückgeführt werden können. Auf diesen Aufwänden steht kein</w:t>
      </w:r>
      <w:r w:rsidR="00406B48">
        <w:rPr>
          <w:rFonts w:ascii="Arial" w:hAnsi="Arial" w:cs="Arial"/>
          <w:sz w:val="20"/>
          <w:szCs w:val="20"/>
        </w:rPr>
        <w:t xml:space="preserve"> klares</w:t>
      </w:r>
      <w:r w:rsidRPr="004F6CEE">
        <w:rPr>
          <w:rFonts w:ascii="Arial" w:hAnsi="Arial" w:cs="Arial"/>
          <w:sz w:val="20"/>
          <w:szCs w:val="20"/>
        </w:rPr>
        <w:t xml:space="preserve"> Preisschild. Sie müssen geschätzt und der Regulierung kausal zugeordnet werden. </w:t>
      </w:r>
      <w:r w:rsidR="00FE3FA1" w:rsidRPr="004F6CEE">
        <w:rPr>
          <w:rFonts w:ascii="Arial" w:hAnsi="Arial" w:cs="Arial"/>
          <w:sz w:val="20"/>
          <w:szCs w:val="20"/>
        </w:rPr>
        <w:t>Dafür gibt es häufig keine eindeutigen, objektiven Kriterien.</w:t>
      </w:r>
      <w:r w:rsidRPr="004F6CEE">
        <w:rPr>
          <w:rFonts w:ascii="Arial" w:hAnsi="Arial" w:cs="Arial"/>
          <w:sz w:val="20"/>
          <w:szCs w:val="20"/>
        </w:rPr>
        <w:t xml:space="preserve"> </w:t>
      </w:r>
      <w:r w:rsidR="00FE3FA1" w:rsidRPr="004F6CEE">
        <w:rPr>
          <w:rFonts w:ascii="Arial" w:hAnsi="Arial" w:cs="Arial"/>
          <w:sz w:val="20"/>
          <w:szCs w:val="20"/>
        </w:rPr>
        <w:t>Zwar ist e</w:t>
      </w:r>
      <w:r w:rsidRPr="004F6CEE">
        <w:rPr>
          <w:rFonts w:ascii="Arial" w:hAnsi="Arial" w:cs="Arial"/>
          <w:sz w:val="20"/>
          <w:szCs w:val="20"/>
        </w:rPr>
        <w:t>s</w:t>
      </w:r>
      <w:r w:rsidR="00FE3FA1" w:rsidRPr="004F6CEE">
        <w:rPr>
          <w:rFonts w:ascii="Arial" w:hAnsi="Arial" w:cs="Arial"/>
          <w:sz w:val="20"/>
          <w:szCs w:val="20"/>
        </w:rPr>
        <w:t xml:space="preserve"> </w:t>
      </w:r>
      <w:r w:rsidRPr="004F6CEE">
        <w:rPr>
          <w:rFonts w:ascii="Arial" w:hAnsi="Arial" w:cs="Arial"/>
          <w:sz w:val="20"/>
          <w:szCs w:val="20"/>
        </w:rPr>
        <w:t xml:space="preserve">grundsätzlich legitim bei einer Regulierungsfolgenabschätzung die indirekten Kosten miteinzuberechnen. Eine solche Kostenrechnung muss aber entsprechend auch indirekte Erträge und Verteilungswirkungen berücksichtigen. </w:t>
      </w:r>
      <w:r w:rsidR="0043676B" w:rsidRPr="00406B48">
        <w:rPr>
          <w:rFonts w:ascii="Arial" w:hAnsi="Arial" w:cs="Arial"/>
          <w:sz w:val="20"/>
          <w:szCs w:val="20"/>
          <w:u w:val="single"/>
        </w:rPr>
        <w:t xml:space="preserve">Wenn schon rechnen, dann </w:t>
      </w:r>
      <w:r w:rsidR="00406B48">
        <w:rPr>
          <w:rFonts w:ascii="Arial" w:hAnsi="Arial" w:cs="Arial"/>
          <w:sz w:val="20"/>
          <w:szCs w:val="20"/>
          <w:u w:val="single"/>
        </w:rPr>
        <w:t>bitte</w:t>
      </w:r>
      <w:r w:rsidR="0043676B" w:rsidRPr="00406B48">
        <w:rPr>
          <w:rFonts w:ascii="Arial" w:hAnsi="Arial" w:cs="Arial"/>
          <w:sz w:val="20"/>
          <w:szCs w:val="20"/>
          <w:u w:val="single"/>
        </w:rPr>
        <w:t xml:space="preserve"> richtig!</w:t>
      </w:r>
      <w:r w:rsidR="0043676B" w:rsidRPr="00406B4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F6CEE" w:rsidRPr="004F6CEE" w:rsidRDefault="004F6CEE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634C2" w:rsidRPr="004F6CEE" w:rsidRDefault="00B634C2" w:rsidP="00F451F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F6CEE">
        <w:rPr>
          <w:rFonts w:ascii="Arial" w:hAnsi="Arial" w:cs="Arial"/>
          <w:sz w:val="20"/>
          <w:szCs w:val="20"/>
        </w:rPr>
        <w:t xml:space="preserve">Nachfolgende Tabelle zeigt die wichtigsten potentiellen Kosten und Erträge, sowie die Träger und Begünstigten.  Es wird deutlich, dass die Rechnung je nach Gewichtung positiv, neutral oder negativ ausfällt. </w:t>
      </w:r>
      <w:r w:rsidRPr="00406B48">
        <w:rPr>
          <w:rFonts w:ascii="Arial" w:hAnsi="Arial" w:cs="Arial"/>
          <w:sz w:val="20"/>
          <w:szCs w:val="20"/>
          <w:u w:val="single"/>
        </w:rPr>
        <w:t>Die Frage bleibt somit trotz aller Berechnungen in erster Linie politisch</w:t>
      </w:r>
      <w:r w:rsidRPr="004F6CEE">
        <w:rPr>
          <w:rFonts w:ascii="Arial" w:hAnsi="Arial" w:cs="Arial"/>
          <w:sz w:val="20"/>
          <w:szCs w:val="20"/>
        </w:rPr>
        <w:t xml:space="preserve">. Sie kann nicht mit einer verzerrten Kosten-Nutzen-Rechnung beantwortet werden. </w:t>
      </w:r>
    </w:p>
    <w:p w:rsidR="00C45CF4" w:rsidRDefault="00C45CF4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9765A" w:rsidRPr="004F6CEE" w:rsidRDefault="0009765A" w:rsidP="00F451F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50BA6" w:rsidRDefault="008846B7" w:rsidP="0009765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4F6CEE">
        <w:rPr>
          <w:rFonts w:ascii="Arial" w:hAnsi="Arial" w:cs="Arial"/>
          <w:b/>
          <w:sz w:val="20"/>
          <w:szCs w:val="20"/>
        </w:rPr>
        <w:t xml:space="preserve">Direkte und indirekte Kosten und ihre Verteilung </w:t>
      </w:r>
      <w:r w:rsidR="00B67200" w:rsidRPr="004F6CEE">
        <w:rPr>
          <w:rFonts w:ascii="Arial" w:hAnsi="Arial" w:cs="Arial"/>
          <w:b/>
          <w:sz w:val="20"/>
          <w:szCs w:val="20"/>
        </w:rPr>
        <w:t>bei einem zweiwöchigen Vaterschaftsurlaub</w:t>
      </w:r>
    </w:p>
    <w:p w:rsidR="0009765A" w:rsidRPr="004F6CEE" w:rsidRDefault="0009765A" w:rsidP="0009765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1498"/>
        <w:gridCol w:w="2274"/>
        <w:gridCol w:w="2830"/>
      </w:tblGrid>
      <w:tr w:rsidR="007C10D2" w:rsidRPr="004F6CEE" w:rsidTr="007C10D2">
        <w:tc>
          <w:tcPr>
            <w:tcW w:w="2460" w:type="dxa"/>
            <w:shd w:val="clear" w:color="auto" w:fill="BFBFBF" w:themeFill="background1" w:themeFillShade="BF"/>
          </w:tcPr>
          <w:p w:rsidR="008846B7" w:rsidRPr="004F6CEE" w:rsidRDefault="008846B7" w:rsidP="00F4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 xml:space="preserve">Direkte Kosten 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8846B7" w:rsidRPr="004F6CEE" w:rsidRDefault="008846B7" w:rsidP="00F4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 xml:space="preserve">Betrag in Millionen 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:rsidR="008846B7" w:rsidRPr="004F6CEE" w:rsidRDefault="008846B7" w:rsidP="00F4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>Kostenträgerin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8846B7" w:rsidRPr="004F6CEE" w:rsidRDefault="008846B7" w:rsidP="00F4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</w:tc>
      </w:tr>
      <w:tr w:rsidR="007C10D2" w:rsidRPr="004F6CEE" w:rsidTr="007C10D2">
        <w:tc>
          <w:tcPr>
            <w:tcW w:w="246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Lohnfortzahlungen </w:t>
            </w:r>
          </w:p>
        </w:tc>
        <w:tc>
          <w:tcPr>
            <w:tcW w:w="1498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224 </w:t>
            </w:r>
          </w:p>
        </w:tc>
        <w:tc>
          <w:tcPr>
            <w:tcW w:w="2274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Arbeitnehmer und Arbeitgeber</w:t>
            </w:r>
          </w:p>
        </w:tc>
        <w:tc>
          <w:tcPr>
            <w:tcW w:w="283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D2" w:rsidRPr="004F6CEE" w:rsidTr="007C10D2">
        <w:tc>
          <w:tcPr>
            <w:tcW w:w="2460" w:type="dxa"/>
          </w:tcPr>
          <w:p w:rsidR="008846B7" w:rsidRPr="004F6CEE" w:rsidRDefault="008846B7" w:rsidP="00F4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 xml:space="preserve">Potenzielle indirekte Kosten eines Vaterschaftsurlaubs </w:t>
            </w:r>
          </w:p>
        </w:tc>
        <w:tc>
          <w:tcPr>
            <w:tcW w:w="1498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D2" w:rsidRPr="004F6CEE" w:rsidTr="007C10D2">
        <w:tc>
          <w:tcPr>
            <w:tcW w:w="246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Organisatorischer Aufwand</w:t>
            </w:r>
          </w:p>
        </w:tc>
        <w:tc>
          <w:tcPr>
            <w:tcW w:w="1498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Unternehmen, Arbeitnehmer</w:t>
            </w:r>
          </w:p>
        </w:tc>
        <w:tc>
          <w:tcPr>
            <w:tcW w:w="283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Fallen auch bei einem Ferienbezug nach Geburt an </w:t>
            </w:r>
          </w:p>
        </w:tc>
      </w:tr>
      <w:tr w:rsidR="007C10D2" w:rsidRPr="004F6CEE" w:rsidTr="007C10D2">
        <w:tc>
          <w:tcPr>
            <w:tcW w:w="246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Überstunden anderer Mitarbeiter</w:t>
            </w:r>
          </w:p>
        </w:tc>
        <w:tc>
          <w:tcPr>
            <w:tcW w:w="1498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Unternehmen, Arbeitnehmer</w:t>
            </w:r>
          </w:p>
        </w:tc>
        <w:tc>
          <w:tcPr>
            <w:tcW w:w="283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Fallen auch bei Ferienbezug an </w:t>
            </w:r>
          </w:p>
        </w:tc>
      </w:tr>
      <w:tr w:rsidR="007C10D2" w:rsidRPr="004F6CEE" w:rsidTr="007C10D2">
        <w:tc>
          <w:tcPr>
            <w:tcW w:w="246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Entgangene Aufträge, Produktivitätsverluste</w:t>
            </w:r>
          </w:p>
        </w:tc>
        <w:tc>
          <w:tcPr>
            <w:tcW w:w="1498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Unternehmen</w:t>
            </w:r>
          </w:p>
        </w:tc>
        <w:tc>
          <w:tcPr>
            <w:tcW w:w="2830" w:type="dxa"/>
          </w:tcPr>
          <w:p w:rsidR="008846B7" w:rsidRPr="004F6CEE" w:rsidRDefault="008846B7" w:rsidP="00F45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6CEE" w:rsidRDefault="004F6CEE" w:rsidP="00F451F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1498"/>
        <w:gridCol w:w="2274"/>
        <w:gridCol w:w="2830"/>
      </w:tblGrid>
      <w:tr w:rsidR="004F6CEE" w:rsidRPr="004F6CEE" w:rsidTr="00D406CE">
        <w:tc>
          <w:tcPr>
            <w:tcW w:w="2460" w:type="dxa"/>
            <w:shd w:val="clear" w:color="auto" w:fill="BFBFBF" w:themeFill="background1" w:themeFillShade="BF"/>
          </w:tcPr>
          <w:p w:rsidR="004F6CEE" w:rsidRPr="004F6CEE" w:rsidRDefault="004F6CEE" w:rsidP="00F4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>Potenzielle indirekte Erträge eines Vaterschaftsurlaubs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>Betrag in Millionen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:rsidR="004F6CEE" w:rsidRPr="004F6CEE" w:rsidRDefault="004F6CEE" w:rsidP="00F4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 xml:space="preserve">Ertragsbegünstigter 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4F6CEE" w:rsidRPr="004F6CEE" w:rsidRDefault="004F6CEE" w:rsidP="00F4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CEE"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CEE" w:rsidRPr="004F6CEE" w:rsidTr="00D406CE">
        <w:tc>
          <w:tcPr>
            <w:tcW w:w="246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Höhere Produktivität der Arbeitnehmer dank mehr Erholung – weniger Präsentismus</w:t>
            </w:r>
          </w:p>
        </w:tc>
        <w:tc>
          <w:tcPr>
            <w:tcW w:w="1498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Unternehmen, Arbeitnehmer</w:t>
            </w:r>
          </w:p>
        </w:tc>
        <w:tc>
          <w:tcPr>
            <w:tcW w:w="283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Sogenannter Präsentismus verursacht hohe Kosten bei den Unternehmen (vgl. Schneider et. Al 2011).</w:t>
            </w:r>
          </w:p>
        </w:tc>
      </w:tr>
      <w:tr w:rsidR="004F6CEE" w:rsidRPr="004F6CEE" w:rsidTr="00D406CE">
        <w:tc>
          <w:tcPr>
            <w:tcW w:w="246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Weniger Krankheitstage dank besserer Erholung der Eltern </w:t>
            </w:r>
          </w:p>
        </w:tc>
        <w:tc>
          <w:tcPr>
            <w:tcW w:w="1498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Unternehmen</w:t>
            </w:r>
          </w:p>
        </w:tc>
        <w:tc>
          <w:tcPr>
            <w:tcW w:w="283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CEE" w:rsidRPr="004F6CEE" w:rsidTr="00D406CE">
        <w:tc>
          <w:tcPr>
            <w:tcW w:w="246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Geringere Fluktuationskosten, da Frauen weniger oft aus dem Erwerbsleben aussteigen </w:t>
            </w:r>
          </w:p>
        </w:tc>
        <w:tc>
          <w:tcPr>
            <w:tcW w:w="1498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Unternehmen </w:t>
            </w:r>
          </w:p>
        </w:tc>
        <w:tc>
          <w:tcPr>
            <w:tcW w:w="2830" w:type="dxa"/>
          </w:tcPr>
          <w:p w:rsidR="004F6CEE" w:rsidRPr="004F6CEE" w:rsidRDefault="004F6CEE" w:rsidP="003C010B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Vgl. Rudin et. al (2019)</w:t>
            </w:r>
            <w:r w:rsidR="003C010B" w:rsidRPr="003C010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4F6CEE" w:rsidRPr="004F6CEE" w:rsidTr="00D406CE">
        <w:tc>
          <w:tcPr>
            <w:tcW w:w="246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Weniger Fachkräftemangel dank attraktiveren Arbeitsbedingungen auch bei KMU – höhere Produktivität, weniger entgangene Aufträge </w:t>
            </w:r>
          </w:p>
        </w:tc>
        <w:tc>
          <w:tcPr>
            <w:tcW w:w="1498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Unternehmen </w:t>
            </w:r>
          </w:p>
        </w:tc>
        <w:tc>
          <w:tcPr>
            <w:tcW w:w="283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CEE" w:rsidRPr="004F6CEE" w:rsidTr="00D406CE">
        <w:tc>
          <w:tcPr>
            <w:tcW w:w="246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Weniger lange unbezahlte Erwerbsunterbrüche der Mütter dank Einbezug der Väter </w:t>
            </w:r>
          </w:p>
        </w:tc>
        <w:tc>
          <w:tcPr>
            <w:tcW w:w="1498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Arbeitnehmerinnen, Unternehmen </w:t>
            </w:r>
          </w:p>
        </w:tc>
        <w:tc>
          <w:tcPr>
            <w:tcW w:w="283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Vgl. Rudin et. al (2019)</w:t>
            </w:r>
          </w:p>
        </w:tc>
      </w:tr>
      <w:tr w:rsidR="004F6CEE" w:rsidRPr="004F6CEE" w:rsidTr="00D406CE">
        <w:tc>
          <w:tcPr>
            <w:tcW w:w="246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Weniger Entlassungen von Müttern nach Mutterschaftsurlaub</w:t>
            </w:r>
          </w:p>
        </w:tc>
        <w:tc>
          <w:tcPr>
            <w:tcW w:w="1498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unbekannt</w:t>
            </w:r>
          </w:p>
        </w:tc>
        <w:tc>
          <w:tcPr>
            <w:tcW w:w="2274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 xml:space="preserve">Arbeitslosenversicherung, Arbeitnehmerinnen </w:t>
            </w:r>
          </w:p>
        </w:tc>
        <w:tc>
          <w:tcPr>
            <w:tcW w:w="2830" w:type="dxa"/>
          </w:tcPr>
          <w:p w:rsidR="004F6CEE" w:rsidRPr="004F6CEE" w:rsidRDefault="004F6CEE" w:rsidP="00F451F3">
            <w:pPr>
              <w:rPr>
                <w:rFonts w:ascii="Arial" w:hAnsi="Arial" w:cs="Arial"/>
                <w:sz w:val="18"/>
                <w:szCs w:val="18"/>
              </w:rPr>
            </w:pPr>
            <w:r w:rsidRPr="004F6CEE">
              <w:rPr>
                <w:rFonts w:ascii="Arial" w:hAnsi="Arial" w:cs="Arial"/>
                <w:sz w:val="18"/>
                <w:szCs w:val="18"/>
              </w:rPr>
              <w:t>Vgl. Rudin et. al (2019)</w:t>
            </w:r>
          </w:p>
        </w:tc>
      </w:tr>
    </w:tbl>
    <w:p w:rsidR="003C010B" w:rsidRDefault="003C010B" w:rsidP="00F45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010B" w:rsidRDefault="003C010B" w:rsidP="003C010B">
      <w:pPr>
        <w:pStyle w:val="Funotentext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</w:t>
      </w:r>
    </w:p>
    <w:p w:rsidR="003C010B" w:rsidRDefault="003C010B" w:rsidP="003C010B">
      <w:pPr>
        <w:pStyle w:val="Funotentext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4F6CEE">
        <w:rPr>
          <w:rStyle w:val="Funotenzeichen"/>
          <w:rFonts w:ascii="Arial" w:hAnsi="Arial" w:cs="Arial"/>
          <w:sz w:val="16"/>
          <w:szCs w:val="16"/>
        </w:rPr>
        <w:footnoteRef/>
      </w:r>
      <w:r w:rsidRPr="004F6C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F2182">
        <w:rPr>
          <w:rFonts w:ascii="Arial" w:hAnsi="Arial" w:cs="Arial"/>
          <w:sz w:val="16"/>
          <w:szCs w:val="16"/>
        </w:rPr>
        <w:t>Gemäss der Stellungnahme des Bundesrats vom 15. April 2019 zum indirekten Gegenentwurf zur Vaterschaftsinitiative, würde ein zweiwöchiger Vaterschaftsurlaub im Jahr 2022 230 Millionen CHF kosten (S. 4).</w:t>
      </w:r>
    </w:p>
    <w:p w:rsidR="003C010B" w:rsidRDefault="003C010B" w:rsidP="003C010B">
      <w:pPr>
        <w:pStyle w:val="Funotentext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4F2182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F6CEE">
        <w:rPr>
          <w:rFonts w:ascii="Arial" w:hAnsi="Arial" w:cs="Arial"/>
          <w:sz w:val="16"/>
          <w:szCs w:val="16"/>
        </w:rPr>
        <w:t>B,S,S (2018): „RFA pflegebedingte Arbeitsabwesenheiten - Regulierungsfolgenabschätzung zur Erweiterung der kurzzeitigen pflegebedingten Arbeitsabwesenheiten und zum EO-entschädigten Betreuungsurlaub für Eltern von schwer kranken und schwer verunfallten Kindern zur Verbesserung der Vereinbarkeit</w:t>
      </w:r>
      <w:r>
        <w:rPr>
          <w:rFonts w:ascii="Arial" w:hAnsi="Arial" w:cs="Arial"/>
          <w:sz w:val="16"/>
          <w:szCs w:val="16"/>
        </w:rPr>
        <w:t xml:space="preserve"> </w:t>
      </w:r>
      <w:r w:rsidRPr="004F6CEE">
        <w:rPr>
          <w:rFonts w:ascii="Arial" w:hAnsi="Arial" w:cs="Arial"/>
          <w:sz w:val="16"/>
          <w:szCs w:val="16"/>
        </w:rPr>
        <w:t>von Erwerbstätigkeit und Angehörigenpflege (Schlussbericht), 18. April 2018, Basel.</w:t>
      </w:r>
    </w:p>
    <w:p w:rsidR="003C010B" w:rsidRDefault="003C010B" w:rsidP="003C010B">
      <w:pPr>
        <w:pStyle w:val="Funotentext"/>
        <w:tabs>
          <w:tab w:val="left" w:pos="142"/>
        </w:tabs>
        <w:ind w:left="142" w:hanging="142"/>
        <w:jc w:val="both"/>
        <w:rPr>
          <w:sz w:val="16"/>
          <w:szCs w:val="16"/>
        </w:rPr>
      </w:pPr>
      <w:r>
        <w:rPr>
          <w:rStyle w:val="Funotenzeichen"/>
          <w:rFonts w:ascii="Arial" w:hAnsi="Arial" w:cs="Arial"/>
          <w:sz w:val="16"/>
          <w:szCs w:val="16"/>
        </w:rPr>
        <w:lastRenderedPageBreak/>
        <w:t>3</w:t>
      </w:r>
      <w:r w:rsidRPr="004F6C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F6CEE">
        <w:rPr>
          <w:rFonts w:ascii="Arial" w:hAnsi="Arial" w:cs="Arial"/>
          <w:sz w:val="16"/>
          <w:szCs w:val="16"/>
        </w:rPr>
        <w:t>Einer dieser Studien dürfte sein: Schneider H., J. Heinze, D. Hering (2011): „Betriebliche Folgekosten mangelnder Vereinbarkeit von Beruf und Pflege“, Berlin. Die Zitation ist allerdings ungenau.</w:t>
      </w:r>
      <w:r w:rsidRPr="004F6CEE">
        <w:rPr>
          <w:sz w:val="16"/>
          <w:szCs w:val="16"/>
        </w:rPr>
        <w:t xml:space="preserve"> </w:t>
      </w:r>
    </w:p>
    <w:p w:rsidR="003C010B" w:rsidRPr="004F2182" w:rsidRDefault="003C010B" w:rsidP="003C010B">
      <w:pPr>
        <w:pStyle w:val="Funotentext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4F2182">
        <w:rPr>
          <w:rFonts w:ascii="Arial" w:hAnsi="Arial" w:cs="Arial"/>
          <w:sz w:val="16"/>
          <w:szCs w:val="16"/>
          <w:vertAlign w:val="superscript"/>
        </w:rPr>
        <w:t>4</w:t>
      </w:r>
      <w:r w:rsidRPr="004F2182">
        <w:rPr>
          <w:rFonts w:ascii="Arial" w:hAnsi="Arial" w:cs="Arial"/>
          <w:sz w:val="16"/>
          <w:szCs w:val="16"/>
        </w:rPr>
        <w:t xml:space="preserve">  Gemäss Botschaft des Bundesrats zur Volksinitiative „Für einen vernünftigen Vaterschaftsurlaub – zum Nutzen der gesamten Familie“ vom 1. Juni 2918 betragen die Kosten eines vierwöchigen Vaterschaftsurlaubs 420 Millionen CHF pro Jahr (S. 3711).</w:t>
      </w:r>
    </w:p>
    <w:p w:rsidR="003C010B" w:rsidRPr="003C010B" w:rsidRDefault="003C010B" w:rsidP="003C010B">
      <w:pPr>
        <w:pStyle w:val="Funotentext"/>
        <w:tabs>
          <w:tab w:val="left" w:pos="142"/>
        </w:tabs>
        <w:ind w:left="135" w:hanging="135"/>
        <w:jc w:val="both"/>
        <w:rPr>
          <w:rFonts w:ascii="Arial" w:hAnsi="Arial" w:cs="Arial"/>
          <w:sz w:val="16"/>
          <w:szCs w:val="16"/>
        </w:rPr>
      </w:pPr>
      <w:r w:rsidRPr="003C010B"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ab/>
      </w:r>
      <w:r w:rsidRPr="004F6CEE">
        <w:rPr>
          <w:rFonts w:ascii="Arial" w:hAnsi="Arial" w:cs="Arial"/>
          <w:sz w:val="16"/>
          <w:szCs w:val="16"/>
        </w:rPr>
        <w:t>Rudin M, H. Stutz, S. Bischof, L. Bannwart, J. Jäggi (2019) : „Erwerbsunterbrüche vor der Geburt“, Forschungsbericht Nr. 2/2018, Studie im Auftrag des Bundesamts für Sozialversicherungen,  S.63ff.</w:t>
      </w:r>
    </w:p>
    <w:sectPr w:rsidR="003C010B" w:rsidRPr="003C010B" w:rsidSect="0009765A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77" w:rsidRDefault="00963377" w:rsidP="00FC65A3">
      <w:pPr>
        <w:spacing w:after="0" w:line="240" w:lineRule="auto"/>
      </w:pPr>
      <w:r>
        <w:separator/>
      </w:r>
    </w:p>
  </w:endnote>
  <w:endnote w:type="continuationSeparator" w:id="0">
    <w:p w:rsidR="00963377" w:rsidRDefault="00963377" w:rsidP="00FC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77" w:rsidRDefault="00963377" w:rsidP="00FC65A3">
      <w:pPr>
        <w:spacing w:after="0" w:line="240" w:lineRule="auto"/>
      </w:pPr>
      <w:r>
        <w:separator/>
      </w:r>
    </w:p>
  </w:footnote>
  <w:footnote w:type="continuationSeparator" w:id="0">
    <w:p w:rsidR="00963377" w:rsidRDefault="00963377" w:rsidP="00FC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017"/>
    <w:multiLevelType w:val="hybridMultilevel"/>
    <w:tmpl w:val="27E6EF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1D87"/>
    <w:multiLevelType w:val="hybridMultilevel"/>
    <w:tmpl w:val="ECE6BC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5CE8"/>
    <w:multiLevelType w:val="hybridMultilevel"/>
    <w:tmpl w:val="4508B0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ED"/>
    <w:rsid w:val="00021FED"/>
    <w:rsid w:val="0009765A"/>
    <w:rsid w:val="00140580"/>
    <w:rsid w:val="0015774B"/>
    <w:rsid w:val="001B247A"/>
    <w:rsid w:val="002352C7"/>
    <w:rsid w:val="00242541"/>
    <w:rsid w:val="00376ECC"/>
    <w:rsid w:val="003A4581"/>
    <w:rsid w:val="003A7F1A"/>
    <w:rsid w:val="003C010B"/>
    <w:rsid w:val="00406B48"/>
    <w:rsid w:val="00422604"/>
    <w:rsid w:val="0043676B"/>
    <w:rsid w:val="004F2182"/>
    <w:rsid w:val="004F6CEE"/>
    <w:rsid w:val="005E140F"/>
    <w:rsid w:val="007A5612"/>
    <w:rsid w:val="007B4E62"/>
    <w:rsid w:val="007C10D2"/>
    <w:rsid w:val="007C66E7"/>
    <w:rsid w:val="007E7DFF"/>
    <w:rsid w:val="00850BA6"/>
    <w:rsid w:val="008846B7"/>
    <w:rsid w:val="00963377"/>
    <w:rsid w:val="00A5013C"/>
    <w:rsid w:val="00B07654"/>
    <w:rsid w:val="00B4709A"/>
    <w:rsid w:val="00B634C2"/>
    <w:rsid w:val="00B67200"/>
    <w:rsid w:val="00BB2C4C"/>
    <w:rsid w:val="00C11779"/>
    <w:rsid w:val="00C42A85"/>
    <w:rsid w:val="00C45CF4"/>
    <w:rsid w:val="00C616CC"/>
    <w:rsid w:val="00D617E0"/>
    <w:rsid w:val="00EB75BA"/>
    <w:rsid w:val="00EF448F"/>
    <w:rsid w:val="00F451F3"/>
    <w:rsid w:val="00FC65A3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82E0558-AE5A-47D5-9737-45F2719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FC65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C65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65A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117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10B"/>
  </w:style>
  <w:style w:type="paragraph" w:styleId="Fuzeile">
    <w:name w:val="footer"/>
    <w:basedOn w:val="Standard"/>
    <w:link w:val="FuzeileZchn"/>
    <w:uiPriority w:val="99"/>
    <w:unhideWhenUsed/>
    <w:rsid w:val="003C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2284-E895-4BC5-8C8F-26730959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Bauer</dc:creator>
  <cp:keywords/>
  <dc:description/>
  <cp:lastModifiedBy>Linda Rosenkranz</cp:lastModifiedBy>
  <cp:revision>3</cp:revision>
  <cp:lastPrinted>2019-06-12T14:49:00Z</cp:lastPrinted>
  <dcterms:created xsi:type="dcterms:W3CDTF">2019-06-17T07:29:00Z</dcterms:created>
  <dcterms:modified xsi:type="dcterms:W3CDTF">2019-06-17T07:36:00Z</dcterms:modified>
</cp:coreProperties>
</file>