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733" w:rsidRPr="00FF7F9C" w:rsidRDefault="000E3733" w:rsidP="000E3733">
      <w:pPr>
        <w:spacing w:after="0" w:line="300" w:lineRule="exact"/>
        <w:rPr>
          <w:rFonts w:ascii="Arial" w:hAnsi="Arial" w:cs="Arial"/>
          <w:sz w:val="20"/>
          <w:szCs w:val="20"/>
        </w:rPr>
      </w:pPr>
      <w:r w:rsidRPr="00FF7F9C">
        <w:rPr>
          <w:rFonts w:ascii="Arial" w:hAnsi="Arial" w:cs="Arial"/>
          <w:sz w:val="20"/>
          <w:szCs w:val="20"/>
        </w:rPr>
        <w:t>Medienservice Trava</w:t>
      </w:r>
      <w:r>
        <w:rPr>
          <w:rFonts w:ascii="Arial" w:hAnsi="Arial" w:cs="Arial"/>
          <w:sz w:val="20"/>
          <w:szCs w:val="20"/>
        </w:rPr>
        <w:t>il.Suisse – Ausgabe vom 5. November 2018</w:t>
      </w:r>
    </w:p>
    <w:p w:rsidR="000E3733" w:rsidRDefault="000E3733" w:rsidP="000E3733">
      <w:pPr>
        <w:spacing w:after="0" w:line="300" w:lineRule="exact"/>
        <w:jc w:val="both"/>
        <w:rPr>
          <w:rFonts w:ascii="Arial" w:hAnsi="Arial" w:cs="Arial"/>
          <w:sz w:val="20"/>
          <w:szCs w:val="20"/>
        </w:rPr>
      </w:pPr>
    </w:p>
    <w:p w:rsidR="000E3733" w:rsidRDefault="000E3733" w:rsidP="000E3733">
      <w:pPr>
        <w:spacing w:after="0" w:line="300" w:lineRule="exact"/>
        <w:rPr>
          <w:rFonts w:ascii="Arial" w:hAnsi="Arial" w:cs="Arial"/>
          <w:sz w:val="20"/>
          <w:szCs w:val="20"/>
        </w:rPr>
      </w:pPr>
    </w:p>
    <w:p w:rsidR="000E3733" w:rsidRDefault="000E3733" w:rsidP="000E3733">
      <w:pPr>
        <w:spacing w:after="0" w:line="300" w:lineRule="exact"/>
        <w:rPr>
          <w:rFonts w:ascii="Arial" w:hAnsi="Arial" w:cs="Arial"/>
          <w:sz w:val="20"/>
          <w:szCs w:val="20"/>
        </w:rPr>
      </w:pPr>
    </w:p>
    <w:p w:rsidR="000E3733" w:rsidRDefault="000E3733" w:rsidP="000E3733">
      <w:pPr>
        <w:spacing w:after="0" w:line="300" w:lineRule="exact"/>
        <w:rPr>
          <w:rFonts w:ascii="Arial" w:hAnsi="Arial" w:cs="Arial"/>
          <w:sz w:val="20"/>
          <w:szCs w:val="20"/>
        </w:rPr>
      </w:pPr>
    </w:p>
    <w:p w:rsidR="0041507A" w:rsidRPr="000E3733" w:rsidRDefault="000E3733" w:rsidP="000E3733">
      <w:pPr>
        <w:spacing w:after="0" w:line="360" w:lineRule="exact"/>
        <w:rPr>
          <w:rFonts w:ascii="Arial" w:hAnsi="Arial" w:cs="Arial"/>
          <w:b/>
          <w:sz w:val="30"/>
          <w:szCs w:val="30"/>
        </w:rPr>
      </w:pPr>
      <w:r>
        <w:rPr>
          <w:rFonts w:ascii="Arial" w:hAnsi="Arial" w:cs="Arial"/>
          <w:b/>
          <w:sz w:val="30"/>
          <w:szCs w:val="30"/>
        </w:rPr>
        <w:t xml:space="preserve">Lebensversicherer: Trotz Krisenrhetorik bleiben die </w:t>
      </w:r>
      <w:r w:rsidR="0041507A" w:rsidRPr="000E3733">
        <w:rPr>
          <w:rFonts w:ascii="Arial" w:hAnsi="Arial" w:cs="Arial"/>
          <w:b/>
          <w:sz w:val="30"/>
          <w:szCs w:val="30"/>
        </w:rPr>
        <w:t xml:space="preserve">Gewinne </w:t>
      </w:r>
      <w:r w:rsidR="00260D15">
        <w:rPr>
          <w:rFonts w:ascii="Arial" w:hAnsi="Arial" w:cs="Arial"/>
          <w:b/>
          <w:sz w:val="30"/>
          <w:szCs w:val="30"/>
        </w:rPr>
        <w:t>in der</w:t>
      </w:r>
      <w:r>
        <w:rPr>
          <w:rFonts w:ascii="Arial" w:hAnsi="Arial" w:cs="Arial"/>
          <w:b/>
          <w:sz w:val="30"/>
          <w:szCs w:val="30"/>
        </w:rPr>
        <w:t xml:space="preserve"> berufliche</w:t>
      </w:r>
      <w:r w:rsidR="00260D15">
        <w:rPr>
          <w:rFonts w:ascii="Arial" w:hAnsi="Arial" w:cs="Arial"/>
          <w:b/>
          <w:sz w:val="30"/>
          <w:szCs w:val="30"/>
        </w:rPr>
        <w:t>n</w:t>
      </w:r>
      <w:r w:rsidR="008A5433" w:rsidRPr="000E3733">
        <w:rPr>
          <w:rFonts w:ascii="Arial" w:hAnsi="Arial" w:cs="Arial"/>
          <w:b/>
          <w:sz w:val="30"/>
          <w:szCs w:val="30"/>
        </w:rPr>
        <w:t xml:space="preserve"> Vorsorge </w:t>
      </w:r>
      <w:r>
        <w:rPr>
          <w:rFonts w:ascii="Arial" w:hAnsi="Arial" w:cs="Arial"/>
          <w:b/>
          <w:sz w:val="30"/>
          <w:szCs w:val="30"/>
        </w:rPr>
        <w:t>hoch</w:t>
      </w:r>
    </w:p>
    <w:p w:rsidR="000E3733" w:rsidRPr="000E3733" w:rsidRDefault="000E3733" w:rsidP="000E3733">
      <w:pPr>
        <w:spacing w:after="0" w:line="300" w:lineRule="exact"/>
        <w:rPr>
          <w:rFonts w:ascii="Arial" w:hAnsi="Arial" w:cs="Arial"/>
          <w:b/>
          <w:sz w:val="20"/>
          <w:szCs w:val="20"/>
        </w:rPr>
      </w:pPr>
    </w:p>
    <w:p w:rsidR="00E066DC" w:rsidRDefault="0041507A" w:rsidP="000E3733">
      <w:pPr>
        <w:spacing w:after="0" w:line="300" w:lineRule="exact"/>
        <w:rPr>
          <w:rFonts w:ascii="Arial" w:hAnsi="Arial" w:cs="Arial"/>
          <w:b/>
          <w:sz w:val="20"/>
          <w:szCs w:val="20"/>
        </w:rPr>
      </w:pPr>
      <w:r w:rsidRPr="000E3733">
        <w:rPr>
          <w:rFonts w:ascii="Arial" w:hAnsi="Arial" w:cs="Arial"/>
          <w:b/>
          <w:sz w:val="20"/>
          <w:szCs w:val="20"/>
        </w:rPr>
        <w:t>Travail.Suisse</w:t>
      </w:r>
      <w:r w:rsidR="00260D15">
        <w:rPr>
          <w:rFonts w:ascii="Arial" w:hAnsi="Arial" w:cs="Arial"/>
          <w:b/>
          <w:sz w:val="20"/>
          <w:szCs w:val="20"/>
        </w:rPr>
        <w:t xml:space="preserve">, der unabhängige Dachverband der </w:t>
      </w:r>
      <w:proofErr w:type="spellStart"/>
      <w:r w:rsidR="00260D15">
        <w:rPr>
          <w:rFonts w:ascii="Arial" w:hAnsi="Arial" w:cs="Arial"/>
          <w:b/>
          <w:sz w:val="20"/>
          <w:szCs w:val="20"/>
        </w:rPr>
        <w:t>Arbeitnehmenden</w:t>
      </w:r>
      <w:proofErr w:type="spellEnd"/>
      <w:r w:rsidR="00260D15">
        <w:rPr>
          <w:rFonts w:ascii="Arial" w:hAnsi="Arial" w:cs="Arial"/>
          <w:b/>
          <w:sz w:val="20"/>
          <w:szCs w:val="20"/>
        </w:rPr>
        <w:t>,</w:t>
      </w:r>
      <w:r w:rsidRPr="000E3733">
        <w:rPr>
          <w:rFonts w:ascii="Arial" w:hAnsi="Arial" w:cs="Arial"/>
          <w:b/>
          <w:sz w:val="20"/>
          <w:szCs w:val="20"/>
        </w:rPr>
        <w:t xml:space="preserve"> hat auch dieses Jahr den </w:t>
      </w:r>
      <w:proofErr w:type="spellStart"/>
      <w:r w:rsidRPr="000E3733">
        <w:rPr>
          <w:rFonts w:ascii="Arial" w:hAnsi="Arial" w:cs="Arial"/>
          <w:b/>
          <w:sz w:val="20"/>
          <w:szCs w:val="20"/>
        </w:rPr>
        <w:t>Finma</w:t>
      </w:r>
      <w:proofErr w:type="spellEnd"/>
      <w:r w:rsidRPr="000E3733">
        <w:rPr>
          <w:rFonts w:ascii="Arial" w:hAnsi="Arial" w:cs="Arial"/>
          <w:b/>
          <w:sz w:val="20"/>
          <w:szCs w:val="20"/>
        </w:rPr>
        <w:t xml:space="preserve">-Bericht zur Tätigkeit der Lebensversicherer in der 2. Säule analysiert. </w:t>
      </w:r>
      <w:r w:rsidR="00260D15">
        <w:rPr>
          <w:rFonts w:ascii="Arial" w:hAnsi="Arial" w:cs="Arial"/>
          <w:b/>
          <w:sz w:val="20"/>
          <w:szCs w:val="20"/>
        </w:rPr>
        <w:t xml:space="preserve">Fazit: </w:t>
      </w:r>
      <w:r w:rsidRPr="000E3733">
        <w:rPr>
          <w:rFonts w:ascii="Arial" w:hAnsi="Arial" w:cs="Arial"/>
          <w:b/>
          <w:sz w:val="20"/>
          <w:szCs w:val="20"/>
        </w:rPr>
        <w:t xml:space="preserve">Die Gewinne der Versicherungsindustrie gehen auf hohem Niveau trotz Krisenrhetorik nur leicht zurück. Die weiterhin hohen </w:t>
      </w:r>
      <w:proofErr w:type="gramStart"/>
      <w:r w:rsidRPr="000E3733">
        <w:rPr>
          <w:rFonts w:ascii="Arial" w:hAnsi="Arial" w:cs="Arial"/>
          <w:b/>
          <w:sz w:val="20"/>
          <w:szCs w:val="20"/>
        </w:rPr>
        <w:t>Gewinn</w:t>
      </w:r>
      <w:proofErr w:type="gramEnd"/>
      <w:r w:rsidRPr="000E3733">
        <w:rPr>
          <w:rFonts w:ascii="Arial" w:hAnsi="Arial" w:cs="Arial"/>
          <w:b/>
          <w:sz w:val="20"/>
          <w:szCs w:val="20"/>
        </w:rPr>
        <w:t xml:space="preserve"> stehen </w:t>
      </w:r>
      <w:r w:rsidR="00CB58B3">
        <w:rPr>
          <w:rFonts w:ascii="Arial" w:hAnsi="Arial" w:cs="Arial"/>
          <w:b/>
          <w:sz w:val="20"/>
          <w:szCs w:val="20"/>
        </w:rPr>
        <w:t xml:space="preserve">ausserdem </w:t>
      </w:r>
      <w:r w:rsidRPr="000E3733">
        <w:rPr>
          <w:rFonts w:ascii="Arial" w:hAnsi="Arial" w:cs="Arial"/>
          <w:b/>
          <w:sz w:val="20"/>
          <w:szCs w:val="20"/>
        </w:rPr>
        <w:t xml:space="preserve">im starken Kontrast </w:t>
      </w:r>
      <w:r w:rsidR="00CB58B3">
        <w:rPr>
          <w:rFonts w:ascii="Arial" w:hAnsi="Arial" w:cs="Arial"/>
          <w:b/>
          <w:sz w:val="20"/>
          <w:szCs w:val="20"/>
        </w:rPr>
        <w:t>zur</w:t>
      </w:r>
      <w:r w:rsidRPr="000E3733">
        <w:rPr>
          <w:rFonts w:ascii="Arial" w:hAnsi="Arial" w:cs="Arial"/>
          <w:b/>
          <w:sz w:val="20"/>
          <w:szCs w:val="20"/>
        </w:rPr>
        <w:t xml:space="preserve"> Verzinsung, welche die Versicherten auf ihren Altersguthaben gutgeschrieben bekommen. Diese sind minimal und bewegen sich im </w:t>
      </w:r>
      <w:proofErr w:type="spellStart"/>
      <w:r w:rsidRPr="000E3733">
        <w:rPr>
          <w:rFonts w:ascii="Arial" w:hAnsi="Arial" w:cs="Arial"/>
          <w:b/>
          <w:sz w:val="20"/>
          <w:szCs w:val="20"/>
        </w:rPr>
        <w:t>Überobligatorium</w:t>
      </w:r>
      <w:proofErr w:type="spellEnd"/>
      <w:r w:rsidRPr="000E3733">
        <w:rPr>
          <w:rFonts w:ascii="Arial" w:hAnsi="Arial" w:cs="Arial"/>
          <w:b/>
          <w:sz w:val="20"/>
          <w:szCs w:val="20"/>
        </w:rPr>
        <w:t xml:space="preserve"> gegen Null. Es zeigt sich </w:t>
      </w:r>
      <w:r w:rsidR="0075545D" w:rsidRPr="000E3733">
        <w:rPr>
          <w:rFonts w:ascii="Arial" w:hAnsi="Arial" w:cs="Arial"/>
          <w:b/>
          <w:sz w:val="20"/>
          <w:szCs w:val="20"/>
        </w:rPr>
        <w:t xml:space="preserve">damit </w:t>
      </w:r>
      <w:r w:rsidRPr="000E3733">
        <w:rPr>
          <w:rFonts w:ascii="Arial" w:hAnsi="Arial" w:cs="Arial"/>
          <w:b/>
          <w:sz w:val="20"/>
          <w:szCs w:val="20"/>
        </w:rPr>
        <w:t xml:space="preserve">immer mehr: Das Vollversicherungsmodell hat für die </w:t>
      </w:r>
      <w:proofErr w:type="spellStart"/>
      <w:r w:rsidRPr="000E3733">
        <w:rPr>
          <w:rFonts w:ascii="Arial" w:hAnsi="Arial" w:cs="Arial"/>
          <w:b/>
          <w:sz w:val="20"/>
          <w:szCs w:val="20"/>
        </w:rPr>
        <w:t>Arbeitnehmenden</w:t>
      </w:r>
      <w:proofErr w:type="spellEnd"/>
      <w:r w:rsidRPr="000E3733">
        <w:rPr>
          <w:rFonts w:ascii="Arial" w:hAnsi="Arial" w:cs="Arial"/>
          <w:b/>
          <w:sz w:val="20"/>
          <w:szCs w:val="20"/>
        </w:rPr>
        <w:t xml:space="preserve"> ein überaus schlechtes Preis-Leistungsverhältnis. </w:t>
      </w:r>
    </w:p>
    <w:p w:rsidR="000E3733" w:rsidRDefault="000E3733" w:rsidP="000E3733">
      <w:pPr>
        <w:spacing w:after="0" w:line="300" w:lineRule="exact"/>
        <w:rPr>
          <w:rFonts w:ascii="Arial" w:hAnsi="Arial" w:cs="Arial"/>
          <w:b/>
          <w:sz w:val="20"/>
          <w:szCs w:val="20"/>
        </w:rPr>
      </w:pPr>
    </w:p>
    <w:p w:rsidR="000E3733" w:rsidRPr="000E3733" w:rsidRDefault="000E3733" w:rsidP="000E3733">
      <w:pPr>
        <w:spacing w:after="0" w:line="300" w:lineRule="exact"/>
        <w:rPr>
          <w:rFonts w:ascii="Arial" w:hAnsi="Arial" w:cs="Arial"/>
          <w:i/>
          <w:sz w:val="20"/>
          <w:szCs w:val="20"/>
        </w:rPr>
      </w:pPr>
      <w:r w:rsidRPr="000E3733">
        <w:rPr>
          <w:rFonts w:ascii="Arial" w:hAnsi="Arial" w:cs="Arial"/>
          <w:i/>
          <w:sz w:val="20"/>
          <w:szCs w:val="20"/>
        </w:rPr>
        <w:t>Von Matthias Kuert Killer, Leiter Sozialpolitik Travail.Suisse</w:t>
      </w:r>
    </w:p>
    <w:p w:rsidR="000E3733" w:rsidRPr="000E3733" w:rsidRDefault="000E3733" w:rsidP="000E3733">
      <w:pPr>
        <w:spacing w:after="0" w:line="300" w:lineRule="exact"/>
        <w:rPr>
          <w:rFonts w:ascii="Arial" w:hAnsi="Arial" w:cs="Arial"/>
          <w:b/>
          <w:sz w:val="20"/>
          <w:szCs w:val="20"/>
        </w:rPr>
      </w:pPr>
    </w:p>
    <w:p w:rsidR="008A5433" w:rsidRDefault="0075545D" w:rsidP="000E3733">
      <w:pPr>
        <w:spacing w:after="0" w:line="300" w:lineRule="exact"/>
        <w:rPr>
          <w:rFonts w:ascii="Arial" w:hAnsi="Arial" w:cs="Arial"/>
          <w:sz w:val="20"/>
          <w:szCs w:val="20"/>
        </w:rPr>
      </w:pPr>
      <w:r w:rsidRPr="000E3733">
        <w:rPr>
          <w:rFonts w:ascii="Arial" w:hAnsi="Arial" w:cs="Arial"/>
          <w:sz w:val="20"/>
          <w:szCs w:val="20"/>
        </w:rPr>
        <w:t>Wie jedes Ja</w:t>
      </w:r>
      <w:r w:rsidR="00CB58B3">
        <w:rPr>
          <w:rFonts w:ascii="Arial" w:hAnsi="Arial" w:cs="Arial"/>
          <w:sz w:val="20"/>
          <w:szCs w:val="20"/>
        </w:rPr>
        <w:t xml:space="preserve">hr hat Travail.Suisse den </w:t>
      </w:r>
      <w:proofErr w:type="spellStart"/>
      <w:r w:rsidR="00CB58B3">
        <w:rPr>
          <w:rFonts w:ascii="Arial" w:hAnsi="Arial" w:cs="Arial"/>
          <w:sz w:val="20"/>
          <w:szCs w:val="20"/>
        </w:rPr>
        <w:t>Finma</w:t>
      </w:r>
      <w:proofErr w:type="spellEnd"/>
      <w:r w:rsidR="00CB58B3">
        <w:rPr>
          <w:rFonts w:ascii="Arial" w:hAnsi="Arial" w:cs="Arial"/>
          <w:sz w:val="20"/>
          <w:szCs w:val="20"/>
        </w:rPr>
        <w:t>-</w:t>
      </w:r>
      <w:r w:rsidRPr="000E3733">
        <w:rPr>
          <w:rFonts w:ascii="Arial" w:hAnsi="Arial" w:cs="Arial"/>
          <w:sz w:val="20"/>
          <w:szCs w:val="20"/>
        </w:rPr>
        <w:t>Bericht zur Tätigkeit der Lebensversicherer in der beruflichen Vorsorge</w:t>
      </w:r>
      <w:r w:rsidRPr="000E3733">
        <w:rPr>
          <w:rStyle w:val="Funotenzeichen"/>
          <w:rFonts w:ascii="Arial" w:hAnsi="Arial" w:cs="Arial"/>
          <w:sz w:val="20"/>
          <w:szCs w:val="20"/>
        </w:rPr>
        <w:footnoteReference w:id="1"/>
      </w:r>
      <w:r w:rsidRPr="000E3733">
        <w:rPr>
          <w:rFonts w:ascii="Arial" w:hAnsi="Arial" w:cs="Arial"/>
          <w:sz w:val="20"/>
          <w:szCs w:val="20"/>
        </w:rPr>
        <w:t xml:space="preserve"> analysiert. </w:t>
      </w:r>
      <w:r w:rsidRPr="004C487A">
        <w:rPr>
          <w:rFonts w:ascii="Arial" w:hAnsi="Arial" w:cs="Arial"/>
          <w:sz w:val="20"/>
          <w:szCs w:val="20"/>
        </w:rPr>
        <w:t xml:space="preserve">Obwohl die </w:t>
      </w:r>
      <w:proofErr w:type="spellStart"/>
      <w:r w:rsidRPr="004C487A">
        <w:rPr>
          <w:rFonts w:ascii="Arial" w:hAnsi="Arial" w:cs="Arial"/>
          <w:sz w:val="20"/>
          <w:szCs w:val="20"/>
        </w:rPr>
        <w:t>Finma</w:t>
      </w:r>
      <w:proofErr w:type="spellEnd"/>
      <w:r w:rsidRPr="004C487A">
        <w:rPr>
          <w:rFonts w:ascii="Arial" w:hAnsi="Arial" w:cs="Arial"/>
          <w:sz w:val="20"/>
          <w:szCs w:val="20"/>
        </w:rPr>
        <w:t xml:space="preserve"> Krisenrhetorik</w:t>
      </w:r>
      <w:r w:rsidRPr="000E3733">
        <w:rPr>
          <w:rFonts w:ascii="Arial" w:hAnsi="Arial" w:cs="Arial"/>
          <w:sz w:val="20"/>
          <w:szCs w:val="20"/>
        </w:rPr>
        <w:t xml:space="preserve"> </w:t>
      </w:r>
      <w:r w:rsidR="00CB58B3">
        <w:rPr>
          <w:rFonts w:ascii="Arial" w:hAnsi="Arial" w:cs="Arial"/>
          <w:sz w:val="20"/>
          <w:szCs w:val="20"/>
        </w:rPr>
        <w:t>benutzt</w:t>
      </w:r>
      <w:r w:rsidRPr="000E3733">
        <w:rPr>
          <w:rFonts w:ascii="Arial" w:hAnsi="Arial" w:cs="Arial"/>
          <w:sz w:val="20"/>
          <w:szCs w:val="20"/>
        </w:rPr>
        <w:t>, konnten die Lebensversicherer auch im vergangenen Jahr viel Geld mit der beruflichen Vorsorge verdienen. Klassischerweise bieten die Lebensversicherer das sogena</w:t>
      </w:r>
      <w:r w:rsidR="00CB58B3">
        <w:rPr>
          <w:rFonts w:ascii="Arial" w:hAnsi="Arial" w:cs="Arial"/>
          <w:sz w:val="20"/>
          <w:szCs w:val="20"/>
        </w:rPr>
        <w:t>nnte Vollversicherungsmodell an:</w:t>
      </w:r>
      <w:r w:rsidR="008A5433" w:rsidRPr="000E3733">
        <w:rPr>
          <w:rFonts w:ascii="Arial" w:hAnsi="Arial" w:cs="Arial"/>
          <w:sz w:val="20"/>
          <w:szCs w:val="20"/>
        </w:rPr>
        <w:t xml:space="preserve"> Es garantiert dem Arbeitgeber, dass er im Falle einer Unterdeckung keine Sanierungsbeiträge übernehmen muss. In der Schweiz waren 2017 rund 1.2 Millionen </w:t>
      </w:r>
      <w:proofErr w:type="spellStart"/>
      <w:r w:rsidR="008A5433" w:rsidRPr="000E3733">
        <w:rPr>
          <w:rFonts w:ascii="Arial" w:hAnsi="Arial" w:cs="Arial"/>
          <w:sz w:val="20"/>
          <w:szCs w:val="20"/>
        </w:rPr>
        <w:t>Arbeitnehmende</w:t>
      </w:r>
      <w:proofErr w:type="spellEnd"/>
      <w:r w:rsidR="008A5433" w:rsidRPr="000E3733">
        <w:rPr>
          <w:rFonts w:ascii="Arial" w:hAnsi="Arial" w:cs="Arial"/>
          <w:sz w:val="20"/>
          <w:szCs w:val="20"/>
        </w:rPr>
        <w:t xml:space="preserve"> bei einer Vollversicherung angeschlossen. Weitere 600‘000 </w:t>
      </w:r>
      <w:proofErr w:type="spellStart"/>
      <w:r w:rsidR="008A5433" w:rsidRPr="000E3733">
        <w:rPr>
          <w:rFonts w:ascii="Arial" w:hAnsi="Arial" w:cs="Arial"/>
          <w:sz w:val="20"/>
          <w:szCs w:val="20"/>
        </w:rPr>
        <w:t>Arbeitnehmede</w:t>
      </w:r>
      <w:proofErr w:type="spellEnd"/>
      <w:r w:rsidR="008A5433" w:rsidRPr="000E3733">
        <w:rPr>
          <w:rFonts w:ascii="Arial" w:hAnsi="Arial" w:cs="Arial"/>
          <w:sz w:val="20"/>
          <w:szCs w:val="20"/>
        </w:rPr>
        <w:t xml:space="preserve"> waren über Verträge mit Teildeckungen an die Lebensversicherer gebunden.</w:t>
      </w:r>
      <w:r w:rsidRPr="000E3733">
        <w:rPr>
          <w:rFonts w:ascii="Arial" w:hAnsi="Arial" w:cs="Arial"/>
          <w:sz w:val="20"/>
          <w:szCs w:val="20"/>
        </w:rPr>
        <w:t xml:space="preserve"> </w:t>
      </w:r>
      <w:r w:rsidR="008A5433" w:rsidRPr="000E3733">
        <w:rPr>
          <w:rFonts w:ascii="Arial" w:hAnsi="Arial" w:cs="Arial"/>
          <w:sz w:val="20"/>
          <w:szCs w:val="20"/>
        </w:rPr>
        <w:t xml:space="preserve">Somit sind etwa 45 Prozent der in der 2. Säule versicherten </w:t>
      </w:r>
      <w:proofErr w:type="spellStart"/>
      <w:r w:rsidR="008A5433" w:rsidRPr="000E3733">
        <w:rPr>
          <w:rFonts w:ascii="Arial" w:hAnsi="Arial" w:cs="Arial"/>
          <w:sz w:val="20"/>
          <w:szCs w:val="20"/>
        </w:rPr>
        <w:t>Arbeitnehmenden</w:t>
      </w:r>
      <w:proofErr w:type="spellEnd"/>
      <w:r w:rsidR="008A5433" w:rsidRPr="000E3733">
        <w:rPr>
          <w:rFonts w:ascii="Arial" w:hAnsi="Arial" w:cs="Arial"/>
          <w:sz w:val="20"/>
          <w:szCs w:val="20"/>
        </w:rPr>
        <w:t xml:space="preserve"> direkt von den Versicherungslösungen der Lebensversicherer betroffen. </w:t>
      </w:r>
      <w:r w:rsidR="00F84661" w:rsidRPr="000E3733">
        <w:rPr>
          <w:rFonts w:ascii="Arial" w:hAnsi="Arial" w:cs="Arial"/>
          <w:sz w:val="20"/>
          <w:szCs w:val="20"/>
        </w:rPr>
        <w:t>Dazu bez</w:t>
      </w:r>
      <w:r w:rsidR="00551ACF" w:rsidRPr="000E3733">
        <w:rPr>
          <w:rFonts w:ascii="Arial" w:hAnsi="Arial" w:cs="Arial"/>
          <w:sz w:val="20"/>
          <w:szCs w:val="20"/>
        </w:rPr>
        <w:t xml:space="preserve">ieht fast jeder vierte Rentner </w:t>
      </w:r>
      <w:r w:rsidR="00F84661" w:rsidRPr="000E3733">
        <w:rPr>
          <w:rFonts w:ascii="Arial" w:hAnsi="Arial" w:cs="Arial"/>
          <w:sz w:val="20"/>
          <w:szCs w:val="20"/>
        </w:rPr>
        <w:t xml:space="preserve">eine Rente eines Lebensversicherers. </w:t>
      </w:r>
      <w:r w:rsidR="008A5433" w:rsidRPr="000E3733">
        <w:rPr>
          <w:rFonts w:ascii="Arial" w:hAnsi="Arial" w:cs="Arial"/>
          <w:sz w:val="20"/>
          <w:szCs w:val="20"/>
        </w:rPr>
        <w:t xml:space="preserve">Da es sich meist um </w:t>
      </w:r>
      <w:proofErr w:type="spellStart"/>
      <w:r w:rsidR="008A5433" w:rsidRPr="000E3733">
        <w:rPr>
          <w:rFonts w:ascii="Arial" w:hAnsi="Arial" w:cs="Arial"/>
          <w:sz w:val="20"/>
          <w:szCs w:val="20"/>
        </w:rPr>
        <w:t>Arbeitnehmende</w:t>
      </w:r>
      <w:proofErr w:type="spellEnd"/>
      <w:r w:rsidR="00F84661" w:rsidRPr="000E3733">
        <w:rPr>
          <w:rFonts w:ascii="Arial" w:hAnsi="Arial" w:cs="Arial"/>
          <w:sz w:val="20"/>
          <w:szCs w:val="20"/>
        </w:rPr>
        <w:t xml:space="preserve"> bzw. Rentner</w:t>
      </w:r>
      <w:r w:rsidR="00CB58B3">
        <w:rPr>
          <w:rFonts w:ascii="Arial" w:hAnsi="Arial" w:cs="Arial"/>
          <w:sz w:val="20"/>
          <w:szCs w:val="20"/>
        </w:rPr>
        <w:t>/-</w:t>
      </w:r>
      <w:r w:rsidR="00F84661" w:rsidRPr="000E3733">
        <w:rPr>
          <w:rFonts w:ascii="Arial" w:hAnsi="Arial" w:cs="Arial"/>
          <w:sz w:val="20"/>
          <w:szCs w:val="20"/>
        </w:rPr>
        <w:t>innen</w:t>
      </w:r>
      <w:r w:rsidR="008A5433" w:rsidRPr="000E3733">
        <w:rPr>
          <w:rFonts w:ascii="Arial" w:hAnsi="Arial" w:cs="Arial"/>
          <w:sz w:val="20"/>
          <w:szCs w:val="20"/>
        </w:rPr>
        <w:t xml:space="preserve"> mit kleinen Einkommen handelt, machen deren angelegt</w:t>
      </w:r>
      <w:r w:rsidR="00F84661" w:rsidRPr="000E3733">
        <w:rPr>
          <w:rFonts w:ascii="Arial" w:hAnsi="Arial" w:cs="Arial"/>
          <w:sz w:val="20"/>
          <w:szCs w:val="20"/>
        </w:rPr>
        <w:t>e</w:t>
      </w:r>
      <w:r w:rsidR="008A5433" w:rsidRPr="000E3733">
        <w:rPr>
          <w:rFonts w:ascii="Arial" w:hAnsi="Arial" w:cs="Arial"/>
          <w:sz w:val="20"/>
          <w:szCs w:val="20"/>
        </w:rPr>
        <w:t xml:space="preserve"> Gelder </w:t>
      </w:r>
      <w:r w:rsidR="00F84661" w:rsidRPr="000E3733">
        <w:rPr>
          <w:rFonts w:ascii="Arial" w:hAnsi="Arial" w:cs="Arial"/>
          <w:sz w:val="20"/>
          <w:szCs w:val="20"/>
        </w:rPr>
        <w:t xml:space="preserve">aber </w:t>
      </w:r>
      <w:r w:rsidR="008A5433" w:rsidRPr="000E3733">
        <w:rPr>
          <w:rFonts w:ascii="Arial" w:hAnsi="Arial" w:cs="Arial"/>
          <w:sz w:val="20"/>
          <w:szCs w:val="20"/>
        </w:rPr>
        <w:t xml:space="preserve">nur etwa 20 Prozent </w:t>
      </w:r>
      <w:r w:rsidR="00F84661" w:rsidRPr="000E3733">
        <w:rPr>
          <w:rFonts w:ascii="Arial" w:hAnsi="Arial" w:cs="Arial"/>
          <w:sz w:val="20"/>
          <w:szCs w:val="20"/>
        </w:rPr>
        <w:t>des BVG-Gesamtkuchens aus.</w:t>
      </w:r>
    </w:p>
    <w:p w:rsidR="000E3733" w:rsidRPr="000E3733" w:rsidRDefault="000E3733" w:rsidP="000E3733">
      <w:pPr>
        <w:spacing w:after="0" w:line="300" w:lineRule="exact"/>
        <w:rPr>
          <w:rFonts w:ascii="Arial" w:hAnsi="Arial" w:cs="Arial"/>
          <w:sz w:val="20"/>
          <w:szCs w:val="20"/>
        </w:rPr>
      </w:pPr>
    </w:p>
    <w:p w:rsidR="008A5433" w:rsidRPr="000E3733" w:rsidRDefault="00F84661" w:rsidP="000E3733">
      <w:pPr>
        <w:spacing w:after="0" w:line="300" w:lineRule="exact"/>
        <w:rPr>
          <w:rFonts w:ascii="Arial" w:hAnsi="Arial" w:cs="Arial"/>
          <w:sz w:val="20"/>
          <w:szCs w:val="20"/>
        </w:rPr>
      </w:pPr>
      <w:r w:rsidRPr="000E3733">
        <w:rPr>
          <w:rFonts w:ascii="Arial" w:hAnsi="Arial" w:cs="Arial"/>
          <w:sz w:val="20"/>
          <w:szCs w:val="20"/>
        </w:rPr>
        <w:t xml:space="preserve">Für die </w:t>
      </w:r>
      <w:proofErr w:type="spellStart"/>
      <w:r w:rsidRPr="000E3733">
        <w:rPr>
          <w:rFonts w:ascii="Arial" w:hAnsi="Arial" w:cs="Arial"/>
          <w:sz w:val="20"/>
          <w:szCs w:val="20"/>
        </w:rPr>
        <w:t>Arbeitnehmenden</w:t>
      </w:r>
      <w:proofErr w:type="spellEnd"/>
      <w:r w:rsidRPr="000E3733">
        <w:rPr>
          <w:rFonts w:ascii="Arial" w:hAnsi="Arial" w:cs="Arial"/>
          <w:sz w:val="20"/>
          <w:szCs w:val="20"/>
        </w:rPr>
        <w:t xml:space="preserve"> ist die profitorientierte Tätigkeit der Versicherungsindustrie in dreierlei Hinsicht problematisch: </w:t>
      </w:r>
    </w:p>
    <w:p w:rsidR="00F84661" w:rsidRPr="000E3733" w:rsidRDefault="00F84661" w:rsidP="000E3733">
      <w:pPr>
        <w:pStyle w:val="Listenabsatz"/>
        <w:numPr>
          <w:ilvl w:val="0"/>
          <w:numId w:val="1"/>
        </w:numPr>
        <w:spacing w:after="0" w:line="300" w:lineRule="exact"/>
        <w:ind w:left="567" w:hanging="567"/>
        <w:rPr>
          <w:rFonts w:ascii="Arial" w:hAnsi="Arial" w:cs="Arial"/>
          <w:sz w:val="20"/>
          <w:szCs w:val="20"/>
        </w:rPr>
      </w:pPr>
      <w:r w:rsidRPr="000E3733">
        <w:rPr>
          <w:rFonts w:ascii="Arial" w:hAnsi="Arial" w:cs="Arial"/>
          <w:sz w:val="20"/>
          <w:szCs w:val="20"/>
        </w:rPr>
        <w:t>Dank einer garantierten Umsatzbeteiligung können die Versicherer hohe Gewinne aus der obligatorischen beruflichen Vorsorge abzie</w:t>
      </w:r>
      <w:r w:rsidR="001C1CB3">
        <w:rPr>
          <w:rFonts w:ascii="Arial" w:hAnsi="Arial" w:cs="Arial"/>
          <w:sz w:val="20"/>
          <w:szCs w:val="20"/>
        </w:rPr>
        <w:t xml:space="preserve">hen (Mindestquotenproblematik), also </w:t>
      </w:r>
      <w:r w:rsidRPr="000E3733">
        <w:rPr>
          <w:rFonts w:ascii="Arial" w:hAnsi="Arial" w:cs="Arial"/>
          <w:sz w:val="20"/>
          <w:szCs w:val="20"/>
        </w:rPr>
        <w:t xml:space="preserve">Gelder, die </w:t>
      </w:r>
      <w:r w:rsidR="001C1CB3">
        <w:rPr>
          <w:rFonts w:ascii="Arial" w:hAnsi="Arial" w:cs="Arial"/>
          <w:sz w:val="20"/>
          <w:szCs w:val="20"/>
        </w:rPr>
        <w:t xml:space="preserve">dann </w:t>
      </w:r>
      <w:r w:rsidRPr="000E3733">
        <w:rPr>
          <w:rFonts w:ascii="Arial" w:hAnsi="Arial" w:cs="Arial"/>
          <w:sz w:val="20"/>
          <w:szCs w:val="20"/>
        </w:rPr>
        <w:t>bei den Renten fehlen.</w:t>
      </w:r>
    </w:p>
    <w:p w:rsidR="00F84661" w:rsidRPr="000E3733" w:rsidRDefault="00F84661" w:rsidP="000E3733">
      <w:pPr>
        <w:pStyle w:val="Listenabsatz"/>
        <w:numPr>
          <w:ilvl w:val="0"/>
          <w:numId w:val="1"/>
        </w:numPr>
        <w:spacing w:after="0" w:line="300" w:lineRule="exact"/>
        <w:ind w:left="567" w:hanging="567"/>
        <w:rPr>
          <w:rFonts w:ascii="Arial" w:hAnsi="Arial" w:cs="Arial"/>
          <w:sz w:val="20"/>
          <w:szCs w:val="20"/>
        </w:rPr>
      </w:pPr>
      <w:r w:rsidRPr="000E3733">
        <w:rPr>
          <w:rFonts w:ascii="Arial" w:hAnsi="Arial" w:cs="Arial"/>
          <w:sz w:val="20"/>
          <w:szCs w:val="20"/>
        </w:rPr>
        <w:t>Die überhöhten Gewinn</w:t>
      </w:r>
      <w:r w:rsidR="001C1CB3">
        <w:rPr>
          <w:rFonts w:ascii="Arial" w:hAnsi="Arial" w:cs="Arial"/>
          <w:sz w:val="20"/>
          <w:szCs w:val="20"/>
        </w:rPr>
        <w:t>e</w:t>
      </w:r>
      <w:r w:rsidRPr="000E3733">
        <w:rPr>
          <w:rFonts w:ascii="Arial" w:hAnsi="Arial" w:cs="Arial"/>
          <w:sz w:val="20"/>
          <w:szCs w:val="20"/>
        </w:rPr>
        <w:t xml:space="preserve"> werden durch überrissene Risikoprämien (= Versicherung von Invaliditäts- und Todesfallrisiko) </w:t>
      </w:r>
      <w:r w:rsidR="00042BD3" w:rsidRPr="000E3733">
        <w:rPr>
          <w:rFonts w:ascii="Arial" w:hAnsi="Arial" w:cs="Arial"/>
          <w:sz w:val="20"/>
          <w:szCs w:val="20"/>
        </w:rPr>
        <w:t xml:space="preserve">gespeist. </w:t>
      </w:r>
    </w:p>
    <w:p w:rsidR="00F84661" w:rsidRPr="000E3733" w:rsidRDefault="00F84661" w:rsidP="000E3733">
      <w:pPr>
        <w:pStyle w:val="Listenabsatz"/>
        <w:numPr>
          <w:ilvl w:val="0"/>
          <w:numId w:val="1"/>
        </w:numPr>
        <w:spacing w:after="0" w:line="300" w:lineRule="exact"/>
        <w:ind w:left="567" w:hanging="567"/>
        <w:rPr>
          <w:rFonts w:ascii="Arial" w:hAnsi="Arial" w:cs="Arial"/>
          <w:sz w:val="20"/>
          <w:szCs w:val="20"/>
        </w:rPr>
      </w:pPr>
      <w:r w:rsidRPr="000E3733">
        <w:rPr>
          <w:rFonts w:ascii="Arial" w:hAnsi="Arial" w:cs="Arial"/>
          <w:sz w:val="20"/>
          <w:szCs w:val="20"/>
        </w:rPr>
        <w:t xml:space="preserve">Die Altersguthaben der versicherten </w:t>
      </w:r>
      <w:proofErr w:type="spellStart"/>
      <w:r w:rsidRPr="000E3733">
        <w:rPr>
          <w:rFonts w:ascii="Arial" w:hAnsi="Arial" w:cs="Arial"/>
          <w:sz w:val="20"/>
          <w:szCs w:val="20"/>
        </w:rPr>
        <w:t>Arbeitnehmenden</w:t>
      </w:r>
      <w:proofErr w:type="spellEnd"/>
      <w:r w:rsidRPr="000E3733">
        <w:rPr>
          <w:rFonts w:ascii="Arial" w:hAnsi="Arial" w:cs="Arial"/>
          <w:sz w:val="20"/>
          <w:szCs w:val="20"/>
        </w:rPr>
        <w:t xml:space="preserve"> werden sehr schlecht verzinst, was zu sehr tiefen Renten führt. </w:t>
      </w:r>
    </w:p>
    <w:p w:rsidR="000E3733" w:rsidRDefault="000E3733" w:rsidP="000E3733">
      <w:pPr>
        <w:spacing w:after="0" w:line="300" w:lineRule="exact"/>
        <w:rPr>
          <w:rFonts w:ascii="Arial" w:hAnsi="Arial" w:cs="Arial"/>
          <w:sz w:val="20"/>
          <w:szCs w:val="20"/>
        </w:rPr>
      </w:pPr>
    </w:p>
    <w:p w:rsidR="00007EBA" w:rsidRPr="000E3733" w:rsidRDefault="00007EBA" w:rsidP="000E3733">
      <w:pPr>
        <w:spacing w:after="0" w:line="300" w:lineRule="exact"/>
        <w:rPr>
          <w:rFonts w:ascii="Arial" w:hAnsi="Arial" w:cs="Arial"/>
          <w:sz w:val="20"/>
          <w:szCs w:val="20"/>
        </w:rPr>
      </w:pPr>
      <w:r w:rsidRPr="000E3733">
        <w:rPr>
          <w:rFonts w:ascii="Arial" w:hAnsi="Arial" w:cs="Arial"/>
          <w:sz w:val="20"/>
          <w:szCs w:val="20"/>
        </w:rPr>
        <w:t xml:space="preserve">Insgesamt bieten die Lösungen der Versicherer für die </w:t>
      </w:r>
      <w:proofErr w:type="spellStart"/>
      <w:r w:rsidRPr="000E3733">
        <w:rPr>
          <w:rFonts w:ascii="Arial" w:hAnsi="Arial" w:cs="Arial"/>
          <w:sz w:val="20"/>
          <w:szCs w:val="20"/>
        </w:rPr>
        <w:t>Arbeitnehmenden</w:t>
      </w:r>
      <w:proofErr w:type="spellEnd"/>
      <w:r w:rsidRPr="000E3733">
        <w:rPr>
          <w:rFonts w:ascii="Arial" w:hAnsi="Arial" w:cs="Arial"/>
          <w:sz w:val="20"/>
          <w:szCs w:val="20"/>
        </w:rPr>
        <w:t xml:space="preserve"> ein schlechtes Preis-Leistungs-Verhältnis. </w:t>
      </w:r>
    </w:p>
    <w:p w:rsidR="00551ACF" w:rsidRDefault="00551ACF" w:rsidP="000E3733">
      <w:pPr>
        <w:spacing w:after="0" w:line="300" w:lineRule="exact"/>
        <w:rPr>
          <w:rFonts w:ascii="Arial" w:hAnsi="Arial" w:cs="Arial"/>
          <w:b/>
          <w:sz w:val="20"/>
          <w:szCs w:val="20"/>
        </w:rPr>
      </w:pPr>
    </w:p>
    <w:p w:rsidR="000E3733" w:rsidRPr="000E3733" w:rsidRDefault="000E3733" w:rsidP="000E3733">
      <w:pPr>
        <w:spacing w:after="0" w:line="300" w:lineRule="exact"/>
        <w:rPr>
          <w:rFonts w:ascii="Arial" w:hAnsi="Arial" w:cs="Arial"/>
          <w:b/>
          <w:sz w:val="20"/>
          <w:szCs w:val="20"/>
        </w:rPr>
      </w:pPr>
    </w:p>
    <w:p w:rsidR="008A5433" w:rsidRDefault="001C1CB3" w:rsidP="000E3733">
      <w:pPr>
        <w:spacing w:after="0" w:line="300" w:lineRule="exact"/>
        <w:rPr>
          <w:rFonts w:ascii="Arial" w:hAnsi="Arial" w:cs="Arial"/>
          <w:b/>
          <w:sz w:val="20"/>
          <w:szCs w:val="20"/>
        </w:rPr>
      </w:pPr>
      <w:r w:rsidRPr="004C487A">
        <w:rPr>
          <w:rFonts w:ascii="Arial" w:hAnsi="Arial" w:cs="Arial"/>
          <w:b/>
          <w:sz w:val="20"/>
          <w:szCs w:val="20"/>
        </w:rPr>
        <w:lastRenderedPageBreak/>
        <w:t>553.7 Millionen Franken Gewinn im Jahr 2017</w:t>
      </w:r>
      <w:r w:rsidR="00042BD3" w:rsidRPr="000E3733">
        <w:rPr>
          <w:rFonts w:ascii="Arial" w:hAnsi="Arial" w:cs="Arial"/>
          <w:b/>
          <w:sz w:val="20"/>
          <w:szCs w:val="20"/>
        </w:rPr>
        <w:t xml:space="preserve"> </w:t>
      </w:r>
    </w:p>
    <w:p w:rsidR="000E3733" w:rsidRPr="000E3733" w:rsidRDefault="000E3733" w:rsidP="000E3733">
      <w:pPr>
        <w:spacing w:after="0" w:line="300" w:lineRule="exact"/>
        <w:rPr>
          <w:rFonts w:ascii="Arial" w:hAnsi="Arial" w:cs="Arial"/>
          <w:b/>
          <w:sz w:val="20"/>
          <w:szCs w:val="20"/>
        </w:rPr>
      </w:pPr>
    </w:p>
    <w:p w:rsidR="000E3733" w:rsidRDefault="000E3733" w:rsidP="000E3733">
      <w:pPr>
        <w:spacing w:after="0" w:line="300" w:lineRule="exact"/>
        <w:rPr>
          <w:rFonts w:ascii="Arial" w:hAnsi="Arial" w:cs="Arial"/>
          <w:sz w:val="20"/>
          <w:szCs w:val="20"/>
        </w:rPr>
      </w:pPr>
      <w:r w:rsidRPr="000E3733">
        <w:rPr>
          <w:rFonts w:ascii="Arial" w:hAnsi="Arial" w:cs="Arial"/>
          <w:noProof/>
          <w:sz w:val="20"/>
          <w:szCs w:val="20"/>
          <w:lang w:eastAsia="de-CH"/>
        </w:rPr>
        <w:drawing>
          <wp:anchor distT="0" distB="0" distL="114300" distR="114300" simplePos="0" relativeHeight="251658240" behindDoc="0" locked="0" layoutInCell="1" allowOverlap="1">
            <wp:simplePos x="0" y="0"/>
            <wp:positionH relativeFrom="margin">
              <wp:posOffset>-11430</wp:posOffset>
            </wp:positionH>
            <wp:positionV relativeFrom="paragraph">
              <wp:posOffset>2276475</wp:posOffset>
            </wp:positionV>
            <wp:extent cx="5760720" cy="3569335"/>
            <wp:effectExtent l="19050" t="19050" r="11430" b="12065"/>
            <wp:wrapTopAndBottom/>
            <wp:docPr id="13318"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8" name="Grafik 2"/>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569335"/>
                    </a:xfrm>
                    <a:prstGeom prst="rect">
                      <a:avLst/>
                    </a:prstGeom>
                    <a:noFill/>
                    <a:ln w="12700">
                      <a:solidFill>
                        <a:schemeClr val="tx1"/>
                      </a:solidFill>
                    </a:ln>
                    <a:extLst/>
                  </pic:spPr>
                </pic:pic>
              </a:graphicData>
            </a:graphic>
          </wp:anchor>
        </w:drawing>
      </w:r>
      <w:r w:rsidR="00042BD3" w:rsidRPr="000E3733">
        <w:rPr>
          <w:rFonts w:ascii="Arial" w:hAnsi="Arial" w:cs="Arial"/>
          <w:sz w:val="20"/>
          <w:szCs w:val="20"/>
        </w:rPr>
        <w:t xml:space="preserve">Das Umfeld der 2. Säule ist </w:t>
      </w:r>
      <w:r w:rsidR="00007EBA" w:rsidRPr="000E3733">
        <w:rPr>
          <w:rFonts w:ascii="Arial" w:hAnsi="Arial" w:cs="Arial"/>
          <w:sz w:val="20"/>
          <w:szCs w:val="20"/>
        </w:rPr>
        <w:t xml:space="preserve">auf Grund der Tiefzinssituation zäh. Die Lohnersatzquoten sind in den letzten Jahren zurückgegangen. Man würde erwarten, dass auch die Lebensversicherer Federn lassen müssen. Dies ist jedoch nur sehr beschränkt der Fall. 2017 konnten sie 553.7 Mio. Franken aus der beruflichen Vorsorge abschöpfen. Das </w:t>
      </w:r>
      <w:proofErr w:type="gramStart"/>
      <w:r w:rsidR="00007EBA" w:rsidRPr="000E3733">
        <w:rPr>
          <w:rFonts w:ascii="Arial" w:hAnsi="Arial" w:cs="Arial"/>
          <w:sz w:val="20"/>
          <w:szCs w:val="20"/>
        </w:rPr>
        <w:t>ist</w:t>
      </w:r>
      <w:proofErr w:type="gramEnd"/>
      <w:r w:rsidR="00007EBA" w:rsidRPr="000E3733">
        <w:rPr>
          <w:rFonts w:ascii="Arial" w:hAnsi="Arial" w:cs="Arial"/>
          <w:sz w:val="20"/>
          <w:szCs w:val="20"/>
        </w:rPr>
        <w:t xml:space="preserve"> </w:t>
      </w:r>
      <w:r w:rsidR="001C1CB3">
        <w:rPr>
          <w:rFonts w:ascii="Arial" w:hAnsi="Arial" w:cs="Arial"/>
          <w:sz w:val="20"/>
          <w:szCs w:val="20"/>
        </w:rPr>
        <w:t xml:space="preserve">zwar </w:t>
      </w:r>
      <w:r w:rsidR="00007EBA" w:rsidRPr="000E3733">
        <w:rPr>
          <w:rFonts w:ascii="Arial" w:hAnsi="Arial" w:cs="Arial"/>
          <w:sz w:val="20"/>
          <w:szCs w:val="20"/>
        </w:rPr>
        <w:t>etwas weniger als die üblichen 600 bis 700 Mio. Franken, aber –</w:t>
      </w:r>
      <w:r w:rsidR="001C1CB3">
        <w:rPr>
          <w:rFonts w:ascii="Arial" w:hAnsi="Arial" w:cs="Arial"/>
          <w:sz w:val="20"/>
          <w:szCs w:val="20"/>
        </w:rPr>
        <w:t xml:space="preserve"> </w:t>
      </w:r>
      <w:r w:rsidR="00007EBA" w:rsidRPr="000E3733">
        <w:rPr>
          <w:rFonts w:ascii="Arial" w:hAnsi="Arial" w:cs="Arial"/>
          <w:sz w:val="20"/>
          <w:szCs w:val="20"/>
        </w:rPr>
        <w:t xml:space="preserve">trotz der von der </w:t>
      </w:r>
      <w:proofErr w:type="spellStart"/>
      <w:r w:rsidR="00007EBA" w:rsidRPr="000E3733">
        <w:rPr>
          <w:rFonts w:ascii="Arial" w:hAnsi="Arial" w:cs="Arial"/>
          <w:sz w:val="20"/>
          <w:szCs w:val="20"/>
        </w:rPr>
        <w:t>Finma</w:t>
      </w:r>
      <w:proofErr w:type="spellEnd"/>
      <w:r w:rsidR="00007EBA" w:rsidRPr="000E3733">
        <w:rPr>
          <w:rFonts w:ascii="Arial" w:hAnsi="Arial" w:cs="Arial"/>
          <w:sz w:val="20"/>
          <w:szCs w:val="20"/>
        </w:rPr>
        <w:t xml:space="preserve"> angestimmten Krisenrhetorik - immer noch sehr viel. Möglich ist dies, weil die Lebensversicherer dank der sogenannten Mindestquote (Legal Quote) 10 Prozent der Erträge für sich einbehalten können. Ursprünglich wollte das Parlament diese Abflüsse auf 10 Prozent der gesamten Gewinne (Ertrag minus Aufwand) beschränken. Die grossen Player Axa und Swiss Life können so jährlich 150 bis 200 Mio. Franken an der 2. Säule verdienen. </w:t>
      </w:r>
      <w:r w:rsidR="00341C13" w:rsidRPr="000E3733">
        <w:rPr>
          <w:rFonts w:ascii="Arial" w:hAnsi="Arial" w:cs="Arial"/>
          <w:sz w:val="20"/>
          <w:szCs w:val="20"/>
        </w:rPr>
        <w:t xml:space="preserve">Seit der Einführung der Mindestquote 2005 haben die Lebensversicherer so fast 6.8 Mrd. Franken an der beruflichen Vorsorge der </w:t>
      </w:r>
      <w:proofErr w:type="spellStart"/>
      <w:r w:rsidR="00341C13" w:rsidRPr="000E3733">
        <w:rPr>
          <w:rFonts w:ascii="Arial" w:hAnsi="Arial" w:cs="Arial"/>
          <w:sz w:val="20"/>
          <w:szCs w:val="20"/>
        </w:rPr>
        <w:t>Abeitnehmenden</w:t>
      </w:r>
      <w:proofErr w:type="spellEnd"/>
      <w:r w:rsidR="00341C13" w:rsidRPr="000E3733">
        <w:rPr>
          <w:rFonts w:ascii="Arial" w:hAnsi="Arial" w:cs="Arial"/>
          <w:sz w:val="20"/>
          <w:szCs w:val="20"/>
        </w:rPr>
        <w:t xml:space="preserve"> verdient. </w:t>
      </w:r>
    </w:p>
    <w:p w:rsidR="00341C13" w:rsidRPr="000E3733" w:rsidRDefault="00633D9B" w:rsidP="000E3733">
      <w:pPr>
        <w:spacing w:after="0" w:line="300" w:lineRule="exact"/>
        <w:rPr>
          <w:rFonts w:ascii="Arial" w:hAnsi="Arial" w:cs="Arial"/>
          <w:sz w:val="20"/>
          <w:szCs w:val="20"/>
        </w:rPr>
      </w:pPr>
      <w:r w:rsidRPr="000E3733">
        <w:rPr>
          <w:rFonts w:ascii="Arial" w:hAnsi="Arial" w:cs="Arial"/>
          <w:sz w:val="20"/>
          <w:szCs w:val="20"/>
        </w:rPr>
        <w:t xml:space="preserve">Quelle: </w:t>
      </w:r>
      <w:proofErr w:type="spellStart"/>
      <w:r w:rsidRPr="000E3733">
        <w:rPr>
          <w:rFonts w:ascii="Arial" w:hAnsi="Arial" w:cs="Arial"/>
          <w:sz w:val="20"/>
          <w:szCs w:val="20"/>
        </w:rPr>
        <w:t>Finma</w:t>
      </w:r>
      <w:proofErr w:type="spellEnd"/>
    </w:p>
    <w:p w:rsidR="00551ACF" w:rsidRDefault="00551ACF" w:rsidP="000E3733">
      <w:pPr>
        <w:spacing w:after="0" w:line="300" w:lineRule="exact"/>
        <w:rPr>
          <w:rFonts w:ascii="Arial" w:hAnsi="Arial" w:cs="Arial"/>
          <w:b/>
          <w:sz w:val="20"/>
          <w:szCs w:val="20"/>
        </w:rPr>
      </w:pPr>
    </w:p>
    <w:p w:rsidR="000E3733" w:rsidRPr="000E3733" w:rsidRDefault="000E3733" w:rsidP="000E3733">
      <w:pPr>
        <w:spacing w:after="0" w:line="300" w:lineRule="exact"/>
        <w:rPr>
          <w:rFonts w:ascii="Arial" w:hAnsi="Arial" w:cs="Arial"/>
          <w:b/>
          <w:sz w:val="20"/>
          <w:szCs w:val="20"/>
        </w:rPr>
      </w:pPr>
    </w:p>
    <w:p w:rsidR="00341C13" w:rsidRDefault="00545DD2" w:rsidP="000E3733">
      <w:pPr>
        <w:spacing w:after="0" w:line="300" w:lineRule="exact"/>
        <w:rPr>
          <w:rFonts w:ascii="Arial" w:hAnsi="Arial" w:cs="Arial"/>
          <w:b/>
          <w:sz w:val="20"/>
          <w:szCs w:val="20"/>
        </w:rPr>
      </w:pPr>
      <w:r w:rsidRPr="004C487A">
        <w:rPr>
          <w:rFonts w:ascii="Arial" w:hAnsi="Arial" w:cs="Arial"/>
          <w:b/>
          <w:sz w:val="20"/>
          <w:szCs w:val="20"/>
        </w:rPr>
        <w:t>Lebensversicherer verdienen viel Geld mit ü</w:t>
      </w:r>
      <w:r w:rsidR="00341C13" w:rsidRPr="004C487A">
        <w:rPr>
          <w:rFonts w:ascii="Arial" w:hAnsi="Arial" w:cs="Arial"/>
          <w:b/>
          <w:sz w:val="20"/>
          <w:szCs w:val="20"/>
        </w:rPr>
        <w:t>berrissene</w:t>
      </w:r>
      <w:r w:rsidRPr="004C487A">
        <w:rPr>
          <w:rFonts w:ascii="Arial" w:hAnsi="Arial" w:cs="Arial"/>
          <w:b/>
          <w:sz w:val="20"/>
          <w:szCs w:val="20"/>
        </w:rPr>
        <w:t>n</w:t>
      </w:r>
      <w:r w:rsidR="00341C13" w:rsidRPr="004C487A">
        <w:rPr>
          <w:rFonts w:ascii="Arial" w:hAnsi="Arial" w:cs="Arial"/>
          <w:b/>
          <w:sz w:val="20"/>
          <w:szCs w:val="20"/>
        </w:rPr>
        <w:t xml:space="preserve"> Risikoprämien</w:t>
      </w:r>
    </w:p>
    <w:p w:rsidR="000E3733" w:rsidRPr="000E3733" w:rsidRDefault="000E3733" w:rsidP="000E3733">
      <w:pPr>
        <w:spacing w:after="0" w:line="300" w:lineRule="exact"/>
        <w:rPr>
          <w:rFonts w:ascii="Arial" w:hAnsi="Arial" w:cs="Arial"/>
          <w:b/>
          <w:sz w:val="20"/>
          <w:szCs w:val="20"/>
        </w:rPr>
      </w:pPr>
    </w:p>
    <w:p w:rsidR="00341C13" w:rsidRPr="000E3733" w:rsidRDefault="00341C13" w:rsidP="000E3733">
      <w:pPr>
        <w:spacing w:after="0" w:line="300" w:lineRule="exact"/>
        <w:rPr>
          <w:rFonts w:ascii="Arial" w:hAnsi="Arial" w:cs="Arial"/>
          <w:sz w:val="20"/>
          <w:szCs w:val="20"/>
        </w:rPr>
      </w:pPr>
      <w:r w:rsidRPr="000E3733">
        <w:rPr>
          <w:rFonts w:ascii="Arial" w:hAnsi="Arial" w:cs="Arial"/>
          <w:sz w:val="20"/>
          <w:szCs w:val="20"/>
        </w:rPr>
        <w:t>Besonders stossend ist, dass die Lebensversicherer ohne eine besondere Leistung zu erbringen und ohne grosses unternehmerisches Risiko viel Geld mit überhöhten Prämien verdienen können. Für die Versicherung einer möglichen Invalidität und von Todesfällen werden die sogenannten Risikoprämien einkassiert. Trotz Schwankungen sollten diese über lange Frist in etwa den ausbezahlten Invaliditäts- und Todesfallleistungen entsprechen. Das ist bei weitem nicht der Fall: Seit 2005 kassierten die Versicherer fast doppelt so viele Risikoprämien ein wie sie für Risikoleistungen benötigten. Die Differenz zwischen Prämien und Leistungen liegt bei 16 Mrd. Franken. In dieser Zeit ging beispielsweise die An</w:t>
      </w:r>
      <w:r w:rsidRPr="000E3733">
        <w:rPr>
          <w:rFonts w:ascii="Arial" w:hAnsi="Arial" w:cs="Arial"/>
          <w:sz w:val="20"/>
          <w:szCs w:val="20"/>
        </w:rPr>
        <w:lastRenderedPageBreak/>
        <w:t>zahl neuer IV-Rentner/</w:t>
      </w:r>
      <w:r w:rsidR="00545DD2">
        <w:rPr>
          <w:rFonts w:ascii="Arial" w:hAnsi="Arial" w:cs="Arial"/>
          <w:sz w:val="20"/>
          <w:szCs w:val="20"/>
        </w:rPr>
        <w:t>-</w:t>
      </w:r>
      <w:r w:rsidRPr="000E3733">
        <w:rPr>
          <w:rFonts w:ascii="Arial" w:hAnsi="Arial" w:cs="Arial"/>
          <w:sz w:val="20"/>
          <w:szCs w:val="20"/>
        </w:rPr>
        <w:t>innen drastisch zurück auf Grund von verschiedenen IV-Revisionen. Die einkassierten Prämien hingegen nahmen niemals im selben Ausmass ab. Eine Goldgrube für die Versicherer.</w:t>
      </w:r>
    </w:p>
    <w:p w:rsidR="00341C13" w:rsidRPr="000E3733" w:rsidRDefault="00341C13" w:rsidP="000E3733">
      <w:pPr>
        <w:spacing w:after="0" w:line="30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070"/>
        <w:gridCol w:w="2203"/>
        <w:gridCol w:w="1656"/>
        <w:gridCol w:w="1707"/>
      </w:tblGrid>
      <w:tr w:rsidR="00341C13" w:rsidRPr="000E3733" w:rsidTr="0026067F">
        <w:trPr>
          <w:trHeight w:val="1081"/>
        </w:trPr>
        <w:tc>
          <w:tcPr>
            <w:tcW w:w="1460" w:type="dxa"/>
          </w:tcPr>
          <w:p w:rsidR="00341C13" w:rsidRPr="000E3733" w:rsidRDefault="00341C13" w:rsidP="000E3733">
            <w:pPr>
              <w:spacing w:after="0" w:line="300" w:lineRule="exact"/>
              <w:rPr>
                <w:rFonts w:ascii="Arial" w:hAnsi="Arial" w:cs="Arial"/>
                <w:sz w:val="20"/>
                <w:szCs w:val="20"/>
              </w:rPr>
            </w:pPr>
            <w:r w:rsidRPr="000E3733">
              <w:rPr>
                <w:rFonts w:ascii="Arial" w:hAnsi="Arial" w:cs="Arial"/>
                <w:sz w:val="20"/>
                <w:szCs w:val="20"/>
              </w:rPr>
              <w:t>In Mio. CHF</w:t>
            </w:r>
          </w:p>
        </w:tc>
        <w:tc>
          <w:tcPr>
            <w:tcW w:w="2122" w:type="dxa"/>
            <w:shd w:val="clear" w:color="auto" w:fill="BFBFBF"/>
          </w:tcPr>
          <w:p w:rsidR="00341C13" w:rsidRPr="000E3733" w:rsidRDefault="00341C13" w:rsidP="000E3733">
            <w:pPr>
              <w:spacing w:after="0" w:line="300" w:lineRule="exact"/>
              <w:rPr>
                <w:rFonts w:ascii="Arial" w:hAnsi="Arial" w:cs="Arial"/>
                <w:b/>
                <w:sz w:val="20"/>
                <w:szCs w:val="20"/>
              </w:rPr>
            </w:pPr>
            <w:r w:rsidRPr="000E3733">
              <w:rPr>
                <w:rFonts w:ascii="Arial" w:hAnsi="Arial" w:cs="Arial"/>
                <w:b/>
                <w:sz w:val="20"/>
                <w:szCs w:val="20"/>
              </w:rPr>
              <w:t xml:space="preserve">Eingenommene Risikoprämien </w:t>
            </w:r>
          </w:p>
          <w:p w:rsidR="0026067F" w:rsidRPr="000E3733" w:rsidRDefault="00341C13" w:rsidP="000E3733">
            <w:pPr>
              <w:spacing w:after="0" w:line="300" w:lineRule="exact"/>
              <w:rPr>
                <w:rFonts w:ascii="Arial" w:hAnsi="Arial" w:cs="Arial"/>
                <w:b/>
                <w:sz w:val="20"/>
                <w:szCs w:val="20"/>
              </w:rPr>
            </w:pPr>
            <w:r w:rsidRPr="000E3733">
              <w:rPr>
                <w:rFonts w:ascii="Arial" w:hAnsi="Arial" w:cs="Arial"/>
                <w:b/>
                <w:sz w:val="20"/>
                <w:szCs w:val="20"/>
              </w:rPr>
              <w:t>(Risikoertrag)</w:t>
            </w:r>
          </w:p>
        </w:tc>
        <w:tc>
          <w:tcPr>
            <w:tcW w:w="2261" w:type="dxa"/>
          </w:tcPr>
          <w:p w:rsidR="00341C13" w:rsidRPr="000E3733" w:rsidRDefault="00341C13" w:rsidP="000E3733">
            <w:pPr>
              <w:spacing w:after="0" w:line="300" w:lineRule="exact"/>
              <w:rPr>
                <w:rFonts w:ascii="Arial" w:hAnsi="Arial" w:cs="Arial"/>
                <w:b/>
                <w:sz w:val="20"/>
                <w:szCs w:val="20"/>
              </w:rPr>
            </w:pPr>
            <w:r w:rsidRPr="000E3733">
              <w:rPr>
                <w:rFonts w:ascii="Arial" w:hAnsi="Arial" w:cs="Arial"/>
                <w:b/>
                <w:sz w:val="20"/>
                <w:szCs w:val="20"/>
              </w:rPr>
              <w:t>Todesfall- und Invaliditätsleistungen</w:t>
            </w:r>
          </w:p>
          <w:p w:rsidR="00341C13" w:rsidRPr="000E3733" w:rsidRDefault="00341C13" w:rsidP="000E3733">
            <w:pPr>
              <w:spacing w:after="0" w:line="300" w:lineRule="exact"/>
              <w:rPr>
                <w:rFonts w:ascii="Arial" w:hAnsi="Arial" w:cs="Arial"/>
                <w:b/>
                <w:sz w:val="20"/>
                <w:szCs w:val="20"/>
              </w:rPr>
            </w:pPr>
            <w:r w:rsidRPr="000E3733">
              <w:rPr>
                <w:rFonts w:ascii="Arial" w:hAnsi="Arial" w:cs="Arial"/>
                <w:b/>
                <w:sz w:val="20"/>
                <w:szCs w:val="20"/>
              </w:rPr>
              <w:t>(Risikoaufwand)</w:t>
            </w:r>
          </w:p>
          <w:p w:rsidR="00341C13" w:rsidRPr="000E3733" w:rsidRDefault="00341C13" w:rsidP="000E3733">
            <w:pPr>
              <w:spacing w:after="0" w:line="300" w:lineRule="exact"/>
              <w:rPr>
                <w:rFonts w:ascii="Arial" w:hAnsi="Arial" w:cs="Arial"/>
                <w:b/>
                <w:sz w:val="20"/>
                <w:szCs w:val="20"/>
              </w:rPr>
            </w:pPr>
          </w:p>
        </w:tc>
        <w:tc>
          <w:tcPr>
            <w:tcW w:w="1696" w:type="dxa"/>
            <w:shd w:val="clear" w:color="auto" w:fill="BFBFBF"/>
          </w:tcPr>
          <w:p w:rsidR="00341C13" w:rsidRPr="000E3733" w:rsidRDefault="00341C13" w:rsidP="000E3733">
            <w:pPr>
              <w:spacing w:after="0" w:line="300" w:lineRule="exact"/>
              <w:rPr>
                <w:rFonts w:ascii="Arial" w:hAnsi="Arial" w:cs="Arial"/>
                <w:b/>
                <w:sz w:val="20"/>
                <w:szCs w:val="20"/>
              </w:rPr>
            </w:pPr>
            <w:r w:rsidRPr="000E3733">
              <w:rPr>
                <w:rFonts w:ascii="Arial" w:hAnsi="Arial" w:cs="Arial"/>
                <w:b/>
                <w:sz w:val="20"/>
                <w:szCs w:val="20"/>
              </w:rPr>
              <w:t xml:space="preserve">Differenz </w:t>
            </w:r>
          </w:p>
          <w:p w:rsidR="00341C13" w:rsidRPr="000E3733" w:rsidRDefault="00341C13" w:rsidP="000E3733">
            <w:pPr>
              <w:spacing w:after="0" w:line="300" w:lineRule="exact"/>
              <w:rPr>
                <w:rFonts w:ascii="Arial" w:hAnsi="Arial" w:cs="Arial"/>
                <w:b/>
                <w:sz w:val="20"/>
                <w:szCs w:val="20"/>
              </w:rPr>
            </w:pPr>
            <w:r w:rsidRPr="000E3733">
              <w:rPr>
                <w:rFonts w:ascii="Arial" w:hAnsi="Arial" w:cs="Arial"/>
                <w:b/>
                <w:sz w:val="20"/>
                <w:szCs w:val="20"/>
              </w:rPr>
              <w:t>absolut</w:t>
            </w:r>
          </w:p>
        </w:tc>
        <w:tc>
          <w:tcPr>
            <w:tcW w:w="1749" w:type="dxa"/>
          </w:tcPr>
          <w:p w:rsidR="00341C13" w:rsidRPr="000E3733" w:rsidRDefault="00341C13" w:rsidP="000E3733">
            <w:pPr>
              <w:spacing w:after="0" w:line="300" w:lineRule="exact"/>
              <w:rPr>
                <w:rFonts w:ascii="Arial" w:hAnsi="Arial" w:cs="Arial"/>
                <w:b/>
                <w:sz w:val="20"/>
                <w:szCs w:val="20"/>
              </w:rPr>
            </w:pPr>
            <w:r w:rsidRPr="000E3733">
              <w:rPr>
                <w:rFonts w:ascii="Arial" w:hAnsi="Arial" w:cs="Arial"/>
                <w:b/>
                <w:sz w:val="20"/>
                <w:szCs w:val="20"/>
              </w:rPr>
              <w:t xml:space="preserve">Ertrag in </w:t>
            </w:r>
          </w:p>
          <w:p w:rsidR="00341C13" w:rsidRPr="000E3733" w:rsidRDefault="00341C13" w:rsidP="000E3733">
            <w:pPr>
              <w:spacing w:after="0" w:line="300" w:lineRule="exact"/>
              <w:rPr>
                <w:rFonts w:ascii="Arial" w:hAnsi="Arial" w:cs="Arial"/>
                <w:b/>
                <w:sz w:val="20"/>
                <w:szCs w:val="20"/>
              </w:rPr>
            </w:pPr>
            <w:r w:rsidRPr="000E3733">
              <w:rPr>
                <w:rFonts w:ascii="Arial" w:hAnsi="Arial" w:cs="Arial"/>
                <w:b/>
                <w:sz w:val="20"/>
                <w:szCs w:val="20"/>
              </w:rPr>
              <w:t>Prozent des Aufwands</w:t>
            </w:r>
          </w:p>
        </w:tc>
      </w:tr>
      <w:tr w:rsidR="00341C13" w:rsidRPr="000E3733" w:rsidTr="00295B2B">
        <w:tc>
          <w:tcPr>
            <w:tcW w:w="1460" w:type="dxa"/>
            <w:vAlign w:val="bottom"/>
          </w:tcPr>
          <w:p w:rsidR="00341C13" w:rsidRPr="000E3733" w:rsidRDefault="00341C13" w:rsidP="000E3733">
            <w:pPr>
              <w:spacing w:after="0" w:line="300" w:lineRule="exact"/>
              <w:jc w:val="right"/>
              <w:rPr>
                <w:rFonts w:ascii="Arial" w:hAnsi="Arial" w:cs="Arial"/>
                <w:b/>
                <w:color w:val="000000"/>
                <w:sz w:val="20"/>
                <w:szCs w:val="20"/>
              </w:rPr>
            </w:pPr>
            <w:r w:rsidRPr="000E3733">
              <w:rPr>
                <w:rFonts w:ascii="Arial" w:hAnsi="Arial" w:cs="Arial"/>
                <w:b/>
                <w:color w:val="000000"/>
                <w:sz w:val="20"/>
                <w:szCs w:val="20"/>
              </w:rPr>
              <w:t>2005</w:t>
            </w:r>
          </w:p>
        </w:tc>
        <w:tc>
          <w:tcPr>
            <w:tcW w:w="2122" w:type="dxa"/>
            <w:shd w:val="clear" w:color="auto" w:fill="BFBFBF"/>
            <w:vAlign w:val="bottom"/>
          </w:tcPr>
          <w:p w:rsidR="00341C13" w:rsidRPr="000E3733" w:rsidRDefault="00341C13" w:rsidP="000E3733">
            <w:pPr>
              <w:spacing w:after="0" w:line="300" w:lineRule="exact"/>
              <w:jc w:val="right"/>
              <w:rPr>
                <w:rFonts w:ascii="Arial" w:hAnsi="Arial" w:cs="Arial"/>
                <w:bCs/>
                <w:color w:val="000000"/>
                <w:sz w:val="20"/>
                <w:szCs w:val="20"/>
              </w:rPr>
            </w:pPr>
            <w:r w:rsidRPr="000E3733">
              <w:rPr>
                <w:rFonts w:ascii="Arial" w:hAnsi="Arial" w:cs="Arial"/>
                <w:bCs/>
                <w:color w:val="000000"/>
                <w:sz w:val="20"/>
                <w:szCs w:val="20"/>
              </w:rPr>
              <w:t>2945.3</w:t>
            </w:r>
          </w:p>
        </w:tc>
        <w:tc>
          <w:tcPr>
            <w:tcW w:w="2261" w:type="dxa"/>
            <w:vAlign w:val="bottom"/>
          </w:tcPr>
          <w:p w:rsidR="00341C13" w:rsidRPr="000E3733" w:rsidRDefault="00341C13" w:rsidP="000E3733">
            <w:pPr>
              <w:spacing w:after="0" w:line="300" w:lineRule="exact"/>
              <w:jc w:val="right"/>
              <w:rPr>
                <w:rFonts w:ascii="Arial" w:hAnsi="Arial" w:cs="Arial"/>
                <w:color w:val="000000"/>
                <w:sz w:val="20"/>
                <w:szCs w:val="20"/>
              </w:rPr>
            </w:pPr>
            <w:r w:rsidRPr="000E3733">
              <w:rPr>
                <w:rFonts w:ascii="Arial" w:hAnsi="Arial" w:cs="Arial"/>
                <w:color w:val="000000"/>
                <w:sz w:val="20"/>
                <w:szCs w:val="20"/>
              </w:rPr>
              <w:t>1789.7</w:t>
            </w:r>
          </w:p>
        </w:tc>
        <w:tc>
          <w:tcPr>
            <w:tcW w:w="1696" w:type="dxa"/>
            <w:shd w:val="clear" w:color="auto" w:fill="BFBFBF"/>
            <w:vAlign w:val="bottom"/>
          </w:tcPr>
          <w:p w:rsidR="00341C13" w:rsidRPr="000E3733" w:rsidRDefault="00341C13" w:rsidP="000E3733">
            <w:pPr>
              <w:spacing w:after="0" w:line="300" w:lineRule="exact"/>
              <w:jc w:val="right"/>
              <w:rPr>
                <w:rFonts w:ascii="Arial" w:hAnsi="Arial" w:cs="Arial"/>
                <w:color w:val="000000"/>
                <w:sz w:val="20"/>
                <w:szCs w:val="20"/>
              </w:rPr>
            </w:pPr>
            <w:r w:rsidRPr="000E3733">
              <w:rPr>
                <w:rFonts w:ascii="Arial" w:hAnsi="Arial" w:cs="Arial"/>
                <w:color w:val="000000"/>
                <w:sz w:val="20"/>
                <w:szCs w:val="20"/>
              </w:rPr>
              <w:t>1155.6</w:t>
            </w:r>
          </w:p>
        </w:tc>
        <w:tc>
          <w:tcPr>
            <w:tcW w:w="1749" w:type="dxa"/>
            <w:vAlign w:val="bottom"/>
          </w:tcPr>
          <w:p w:rsidR="00341C13" w:rsidRPr="000E3733" w:rsidRDefault="00341C13" w:rsidP="000E3733">
            <w:pPr>
              <w:spacing w:after="0" w:line="300" w:lineRule="exact"/>
              <w:jc w:val="right"/>
              <w:rPr>
                <w:rFonts w:ascii="Arial" w:hAnsi="Arial" w:cs="Arial"/>
                <w:color w:val="000000"/>
                <w:sz w:val="20"/>
                <w:szCs w:val="20"/>
              </w:rPr>
            </w:pPr>
            <w:r w:rsidRPr="000E3733">
              <w:rPr>
                <w:rFonts w:ascii="Arial" w:hAnsi="Arial" w:cs="Arial"/>
                <w:color w:val="000000"/>
                <w:sz w:val="20"/>
                <w:szCs w:val="20"/>
              </w:rPr>
              <w:t>164.6</w:t>
            </w:r>
          </w:p>
        </w:tc>
      </w:tr>
      <w:tr w:rsidR="00341C13" w:rsidRPr="000E3733" w:rsidTr="00295B2B">
        <w:tc>
          <w:tcPr>
            <w:tcW w:w="1460" w:type="dxa"/>
            <w:vAlign w:val="bottom"/>
          </w:tcPr>
          <w:p w:rsidR="00341C13" w:rsidRPr="000E3733" w:rsidRDefault="00341C13" w:rsidP="000E3733">
            <w:pPr>
              <w:spacing w:after="0" w:line="300" w:lineRule="exact"/>
              <w:jc w:val="right"/>
              <w:rPr>
                <w:rFonts w:ascii="Arial" w:hAnsi="Arial" w:cs="Arial"/>
                <w:b/>
                <w:color w:val="000000"/>
                <w:sz w:val="20"/>
                <w:szCs w:val="20"/>
              </w:rPr>
            </w:pPr>
            <w:r w:rsidRPr="000E3733">
              <w:rPr>
                <w:rFonts w:ascii="Arial" w:hAnsi="Arial" w:cs="Arial"/>
                <w:b/>
                <w:color w:val="000000"/>
                <w:sz w:val="20"/>
                <w:szCs w:val="20"/>
              </w:rPr>
              <w:t>2006</w:t>
            </w:r>
          </w:p>
        </w:tc>
        <w:tc>
          <w:tcPr>
            <w:tcW w:w="2122" w:type="dxa"/>
            <w:shd w:val="clear" w:color="auto" w:fill="BFBFBF"/>
            <w:vAlign w:val="bottom"/>
          </w:tcPr>
          <w:p w:rsidR="00341C13" w:rsidRPr="000E3733" w:rsidRDefault="00341C13" w:rsidP="000E3733">
            <w:pPr>
              <w:spacing w:after="0" w:line="300" w:lineRule="exact"/>
              <w:jc w:val="right"/>
              <w:rPr>
                <w:rFonts w:ascii="Arial" w:hAnsi="Arial" w:cs="Arial"/>
                <w:color w:val="000000"/>
                <w:sz w:val="20"/>
                <w:szCs w:val="20"/>
              </w:rPr>
            </w:pPr>
            <w:r w:rsidRPr="000E3733">
              <w:rPr>
                <w:rFonts w:ascii="Arial" w:hAnsi="Arial" w:cs="Arial"/>
                <w:color w:val="000000"/>
                <w:sz w:val="20"/>
                <w:szCs w:val="20"/>
              </w:rPr>
              <w:t>3035.7</w:t>
            </w:r>
          </w:p>
        </w:tc>
        <w:tc>
          <w:tcPr>
            <w:tcW w:w="2261" w:type="dxa"/>
            <w:vAlign w:val="bottom"/>
          </w:tcPr>
          <w:p w:rsidR="00341C13" w:rsidRPr="000E3733" w:rsidRDefault="00341C13" w:rsidP="000E3733">
            <w:pPr>
              <w:spacing w:after="0" w:line="300" w:lineRule="exact"/>
              <w:jc w:val="right"/>
              <w:rPr>
                <w:rFonts w:ascii="Arial" w:hAnsi="Arial" w:cs="Arial"/>
                <w:color w:val="000000"/>
                <w:sz w:val="20"/>
                <w:szCs w:val="20"/>
              </w:rPr>
            </w:pPr>
            <w:r w:rsidRPr="000E3733">
              <w:rPr>
                <w:rFonts w:ascii="Arial" w:hAnsi="Arial" w:cs="Arial"/>
                <w:color w:val="000000"/>
                <w:sz w:val="20"/>
                <w:szCs w:val="20"/>
              </w:rPr>
              <w:t>1591.6</w:t>
            </w:r>
          </w:p>
        </w:tc>
        <w:tc>
          <w:tcPr>
            <w:tcW w:w="1696" w:type="dxa"/>
            <w:shd w:val="clear" w:color="auto" w:fill="BFBFBF"/>
            <w:vAlign w:val="bottom"/>
          </w:tcPr>
          <w:p w:rsidR="00341C13" w:rsidRPr="000E3733" w:rsidRDefault="00341C13" w:rsidP="000E3733">
            <w:pPr>
              <w:spacing w:after="0" w:line="300" w:lineRule="exact"/>
              <w:jc w:val="right"/>
              <w:rPr>
                <w:rFonts w:ascii="Arial" w:hAnsi="Arial" w:cs="Arial"/>
                <w:color w:val="000000"/>
                <w:sz w:val="20"/>
                <w:szCs w:val="20"/>
              </w:rPr>
            </w:pPr>
            <w:r w:rsidRPr="000E3733">
              <w:rPr>
                <w:rFonts w:ascii="Arial" w:hAnsi="Arial" w:cs="Arial"/>
                <w:color w:val="000000"/>
                <w:sz w:val="20"/>
                <w:szCs w:val="20"/>
              </w:rPr>
              <w:t>1444.1</w:t>
            </w:r>
          </w:p>
        </w:tc>
        <w:tc>
          <w:tcPr>
            <w:tcW w:w="1749" w:type="dxa"/>
            <w:vAlign w:val="bottom"/>
          </w:tcPr>
          <w:p w:rsidR="00341C13" w:rsidRPr="000E3733" w:rsidRDefault="00341C13" w:rsidP="000E3733">
            <w:pPr>
              <w:spacing w:after="0" w:line="300" w:lineRule="exact"/>
              <w:jc w:val="right"/>
              <w:rPr>
                <w:rFonts w:ascii="Arial" w:hAnsi="Arial" w:cs="Arial"/>
                <w:color w:val="000000"/>
                <w:sz w:val="20"/>
                <w:szCs w:val="20"/>
              </w:rPr>
            </w:pPr>
            <w:r w:rsidRPr="000E3733">
              <w:rPr>
                <w:rFonts w:ascii="Arial" w:hAnsi="Arial" w:cs="Arial"/>
                <w:color w:val="000000"/>
                <w:sz w:val="20"/>
                <w:szCs w:val="20"/>
              </w:rPr>
              <w:t>190.7</w:t>
            </w:r>
          </w:p>
        </w:tc>
      </w:tr>
      <w:tr w:rsidR="00341C13" w:rsidRPr="000E3733" w:rsidTr="00295B2B">
        <w:tc>
          <w:tcPr>
            <w:tcW w:w="1460" w:type="dxa"/>
            <w:vAlign w:val="bottom"/>
          </w:tcPr>
          <w:p w:rsidR="00341C13" w:rsidRPr="000E3733" w:rsidRDefault="00341C13" w:rsidP="000E3733">
            <w:pPr>
              <w:spacing w:after="0" w:line="300" w:lineRule="exact"/>
              <w:jc w:val="right"/>
              <w:rPr>
                <w:rFonts w:ascii="Arial" w:hAnsi="Arial" w:cs="Arial"/>
                <w:b/>
                <w:color w:val="000000"/>
                <w:sz w:val="20"/>
                <w:szCs w:val="20"/>
              </w:rPr>
            </w:pPr>
            <w:r w:rsidRPr="000E3733">
              <w:rPr>
                <w:rFonts w:ascii="Arial" w:hAnsi="Arial" w:cs="Arial"/>
                <w:b/>
                <w:color w:val="000000"/>
                <w:sz w:val="20"/>
                <w:szCs w:val="20"/>
              </w:rPr>
              <w:t>2007</w:t>
            </w:r>
          </w:p>
        </w:tc>
        <w:tc>
          <w:tcPr>
            <w:tcW w:w="2122" w:type="dxa"/>
            <w:shd w:val="clear" w:color="auto" w:fill="BFBFBF"/>
            <w:vAlign w:val="bottom"/>
          </w:tcPr>
          <w:p w:rsidR="00341C13" w:rsidRPr="000E3733" w:rsidRDefault="00341C13" w:rsidP="000E3733">
            <w:pPr>
              <w:spacing w:after="0" w:line="300" w:lineRule="exact"/>
              <w:jc w:val="right"/>
              <w:rPr>
                <w:rFonts w:ascii="Arial" w:hAnsi="Arial" w:cs="Arial"/>
                <w:color w:val="000000"/>
                <w:sz w:val="20"/>
                <w:szCs w:val="20"/>
              </w:rPr>
            </w:pPr>
            <w:r w:rsidRPr="000E3733">
              <w:rPr>
                <w:rFonts w:ascii="Arial" w:hAnsi="Arial" w:cs="Arial"/>
                <w:color w:val="000000"/>
                <w:sz w:val="20"/>
                <w:szCs w:val="20"/>
              </w:rPr>
              <w:t>3063.0</w:t>
            </w:r>
          </w:p>
        </w:tc>
        <w:tc>
          <w:tcPr>
            <w:tcW w:w="2261" w:type="dxa"/>
            <w:vAlign w:val="bottom"/>
          </w:tcPr>
          <w:p w:rsidR="00341C13" w:rsidRPr="000E3733" w:rsidRDefault="00341C13" w:rsidP="000E3733">
            <w:pPr>
              <w:spacing w:after="0" w:line="300" w:lineRule="exact"/>
              <w:jc w:val="right"/>
              <w:rPr>
                <w:rFonts w:ascii="Arial" w:hAnsi="Arial" w:cs="Arial"/>
                <w:color w:val="000000"/>
                <w:sz w:val="20"/>
                <w:szCs w:val="20"/>
              </w:rPr>
            </w:pPr>
            <w:r w:rsidRPr="000E3733">
              <w:rPr>
                <w:rFonts w:ascii="Arial" w:hAnsi="Arial" w:cs="Arial"/>
                <w:color w:val="000000"/>
                <w:sz w:val="20"/>
                <w:szCs w:val="20"/>
              </w:rPr>
              <w:t>1519.9</w:t>
            </w:r>
          </w:p>
        </w:tc>
        <w:tc>
          <w:tcPr>
            <w:tcW w:w="1696" w:type="dxa"/>
            <w:shd w:val="clear" w:color="auto" w:fill="BFBFBF"/>
            <w:vAlign w:val="bottom"/>
          </w:tcPr>
          <w:p w:rsidR="00341C13" w:rsidRPr="000E3733" w:rsidRDefault="00341C13" w:rsidP="000E3733">
            <w:pPr>
              <w:spacing w:after="0" w:line="300" w:lineRule="exact"/>
              <w:jc w:val="right"/>
              <w:rPr>
                <w:rFonts w:ascii="Arial" w:hAnsi="Arial" w:cs="Arial"/>
                <w:color w:val="000000"/>
                <w:sz w:val="20"/>
                <w:szCs w:val="20"/>
              </w:rPr>
            </w:pPr>
            <w:r w:rsidRPr="000E3733">
              <w:rPr>
                <w:rFonts w:ascii="Arial" w:hAnsi="Arial" w:cs="Arial"/>
                <w:color w:val="000000"/>
                <w:sz w:val="20"/>
                <w:szCs w:val="20"/>
              </w:rPr>
              <w:t>1543.1</w:t>
            </w:r>
          </w:p>
        </w:tc>
        <w:tc>
          <w:tcPr>
            <w:tcW w:w="1749" w:type="dxa"/>
            <w:vAlign w:val="bottom"/>
          </w:tcPr>
          <w:p w:rsidR="00341C13" w:rsidRPr="000E3733" w:rsidRDefault="00341C13" w:rsidP="000E3733">
            <w:pPr>
              <w:spacing w:after="0" w:line="300" w:lineRule="exact"/>
              <w:jc w:val="right"/>
              <w:rPr>
                <w:rFonts w:ascii="Arial" w:hAnsi="Arial" w:cs="Arial"/>
                <w:color w:val="000000"/>
                <w:sz w:val="20"/>
                <w:szCs w:val="20"/>
              </w:rPr>
            </w:pPr>
            <w:r w:rsidRPr="000E3733">
              <w:rPr>
                <w:rFonts w:ascii="Arial" w:hAnsi="Arial" w:cs="Arial"/>
                <w:color w:val="000000"/>
                <w:sz w:val="20"/>
                <w:szCs w:val="20"/>
              </w:rPr>
              <w:t>201.5</w:t>
            </w:r>
          </w:p>
        </w:tc>
      </w:tr>
      <w:tr w:rsidR="00341C13" w:rsidRPr="000E3733" w:rsidTr="00295B2B">
        <w:tc>
          <w:tcPr>
            <w:tcW w:w="1460" w:type="dxa"/>
            <w:vAlign w:val="bottom"/>
          </w:tcPr>
          <w:p w:rsidR="00341C13" w:rsidRPr="000E3733" w:rsidRDefault="00341C13" w:rsidP="000E3733">
            <w:pPr>
              <w:spacing w:after="0" w:line="300" w:lineRule="exact"/>
              <w:jc w:val="right"/>
              <w:rPr>
                <w:rFonts w:ascii="Arial" w:hAnsi="Arial" w:cs="Arial"/>
                <w:b/>
                <w:color w:val="000000"/>
                <w:sz w:val="20"/>
                <w:szCs w:val="20"/>
              </w:rPr>
            </w:pPr>
            <w:r w:rsidRPr="000E3733">
              <w:rPr>
                <w:rFonts w:ascii="Arial" w:hAnsi="Arial" w:cs="Arial"/>
                <w:b/>
                <w:color w:val="000000"/>
                <w:sz w:val="20"/>
                <w:szCs w:val="20"/>
              </w:rPr>
              <w:t>2008</w:t>
            </w:r>
          </w:p>
        </w:tc>
        <w:tc>
          <w:tcPr>
            <w:tcW w:w="2122" w:type="dxa"/>
            <w:shd w:val="clear" w:color="auto" w:fill="BFBFBF"/>
            <w:vAlign w:val="bottom"/>
          </w:tcPr>
          <w:p w:rsidR="00341C13" w:rsidRPr="000E3733" w:rsidRDefault="00341C13" w:rsidP="000E3733">
            <w:pPr>
              <w:spacing w:after="0" w:line="300" w:lineRule="exact"/>
              <w:jc w:val="right"/>
              <w:rPr>
                <w:rFonts w:ascii="Arial" w:hAnsi="Arial" w:cs="Arial"/>
                <w:color w:val="000000"/>
                <w:sz w:val="20"/>
                <w:szCs w:val="20"/>
              </w:rPr>
            </w:pPr>
            <w:r w:rsidRPr="000E3733">
              <w:rPr>
                <w:rFonts w:ascii="Arial" w:hAnsi="Arial" w:cs="Arial"/>
                <w:color w:val="000000"/>
                <w:sz w:val="20"/>
                <w:szCs w:val="20"/>
              </w:rPr>
              <w:t>2950.3</w:t>
            </w:r>
          </w:p>
        </w:tc>
        <w:tc>
          <w:tcPr>
            <w:tcW w:w="2261" w:type="dxa"/>
            <w:vAlign w:val="bottom"/>
          </w:tcPr>
          <w:p w:rsidR="00341C13" w:rsidRPr="000E3733" w:rsidRDefault="00341C13" w:rsidP="000E3733">
            <w:pPr>
              <w:spacing w:after="0" w:line="300" w:lineRule="exact"/>
              <w:jc w:val="right"/>
              <w:rPr>
                <w:rFonts w:ascii="Arial" w:hAnsi="Arial" w:cs="Arial"/>
                <w:color w:val="000000"/>
                <w:sz w:val="20"/>
                <w:szCs w:val="20"/>
              </w:rPr>
            </w:pPr>
            <w:r w:rsidRPr="000E3733">
              <w:rPr>
                <w:rFonts w:ascii="Arial" w:hAnsi="Arial" w:cs="Arial"/>
                <w:color w:val="000000"/>
                <w:sz w:val="20"/>
                <w:szCs w:val="20"/>
              </w:rPr>
              <w:t>1281.2</w:t>
            </w:r>
          </w:p>
        </w:tc>
        <w:tc>
          <w:tcPr>
            <w:tcW w:w="1696" w:type="dxa"/>
            <w:shd w:val="clear" w:color="auto" w:fill="BFBFBF"/>
            <w:vAlign w:val="bottom"/>
          </w:tcPr>
          <w:p w:rsidR="00341C13" w:rsidRPr="000E3733" w:rsidRDefault="00341C13" w:rsidP="000E3733">
            <w:pPr>
              <w:spacing w:after="0" w:line="300" w:lineRule="exact"/>
              <w:jc w:val="right"/>
              <w:rPr>
                <w:rFonts w:ascii="Arial" w:hAnsi="Arial" w:cs="Arial"/>
                <w:color w:val="000000"/>
                <w:sz w:val="20"/>
                <w:szCs w:val="20"/>
              </w:rPr>
            </w:pPr>
            <w:r w:rsidRPr="000E3733">
              <w:rPr>
                <w:rFonts w:ascii="Arial" w:hAnsi="Arial" w:cs="Arial"/>
                <w:color w:val="000000"/>
                <w:sz w:val="20"/>
                <w:szCs w:val="20"/>
              </w:rPr>
              <w:t>1669.1</w:t>
            </w:r>
          </w:p>
        </w:tc>
        <w:tc>
          <w:tcPr>
            <w:tcW w:w="1749" w:type="dxa"/>
            <w:vAlign w:val="bottom"/>
          </w:tcPr>
          <w:p w:rsidR="00341C13" w:rsidRPr="000E3733" w:rsidRDefault="00341C13" w:rsidP="000E3733">
            <w:pPr>
              <w:spacing w:after="0" w:line="300" w:lineRule="exact"/>
              <w:jc w:val="right"/>
              <w:rPr>
                <w:rFonts w:ascii="Arial" w:hAnsi="Arial" w:cs="Arial"/>
                <w:color w:val="000000"/>
                <w:sz w:val="20"/>
                <w:szCs w:val="20"/>
              </w:rPr>
            </w:pPr>
            <w:r w:rsidRPr="000E3733">
              <w:rPr>
                <w:rFonts w:ascii="Arial" w:hAnsi="Arial" w:cs="Arial"/>
                <w:color w:val="000000"/>
                <w:sz w:val="20"/>
                <w:szCs w:val="20"/>
              </w:rPr>
              <w:t>230.3</w:t>
            </w:r>
          </w:p>
        </w:tc>
      </w:tr>
      <w:tr w:rsidR="00341C13" w:rsidRPr="000E3733" w:rsidTr="00295B2B">
        <w:tc>
          <w:tcPr>
            <w:tcW w:w="1460" w:type="dxa"/>
            <w:vAlign w:val="bottom"/>
          </w:tcPr>
          <w:p w:rsidR="00341C13" w:rsidRPr="000E3733" w:rsidRDefault="00341C13" w:rsidP="000E3733">
            <w:pPr>
              <w:spacing w:after="0" w:line="300" w:lineRule="exact"/>
              <w:jc w:val="right"/>
              <w:rPr>
                <w:rFonts w:ascii="Arial" w:hAnsi="Arial" w:cs="Arial"/>
                <w:b/>
                <w:color w:val="000000"/>
                <w:sz w:val="20"/>
                <w:szCs w:val="20"/>
              </w:rPr>
            </w:pPr>
            <w:r w:rsidRPr="000E3733">
              <w:rPr>
                <w:rFonts w:ascii="Arial" w:hAnsi="Arial" w:cs="Arial"/>
                <w:b/>
                <w:color w:val="000000"/>
                <w:sz w:val="20"/>
                <w:szCs w:val="20"/>
              </w:rPr>
              <w:t>2009</w:t>
            </w:r>
          </w:p>
        </w:tc>
        <w:tc>
          <w:tcPr>
            <w:tcW w:w="2122" w:type="dxa"/>
            <w:shd w:val="clear" w:color="auto" w:fill="BFBFBF"/>
            <w:vAlign w:val="bottom"/>
          </w:tcPr>
          <w:p w:rsidR="00341C13" w:rsidRPr="000E3733" w:rsidRDefault="00341C13" w:rsidP="000E3733">
            <w:pPr>
              <w:spacing w:after="0" w:line="300" w:lineRule="exact"/>
              <w:jc w:val="right"/>
              <w:rPr>
                <w:rFonts w:ascii="Arial" w:hAnsi="Arial" w:cs="Arial"/>
                <w:color w:val="000000"/>
                <w:sz w:val="20"/>
                <w:szCs w:val="20"/>
              </w:rPr>
            </w:pPr>
            <w:r w:rsidRPr="000E3733">
              <w:rPr>
                <w:rFonts w:ascii="Arial" w:hAnsi="Arial" w:cs="Arial"/>
                <w:color w:val="000000"/>
                <w:sz w:val="20"/>
                <w:szCs w:val="20"/>
              </w:rPr>
              <w:t>2811.9</w:t>
            </w:r>
          </w:p>
        </w:tc>
        <w:tc>
          <w:tcPr>
            <w:tcW w:w="2261" w:type="dxa"/>
            <w:vAlign w:val="bottom"/>
          </w:tcPr>
          <w:p w:rsidR="00341C13" w:rsidRPr="000E3733" w:rsidRDefault="00341C13" w:rsidP="000E3733">
            <w:pPr>
              <w:spacing w:after="0" w:line="300" w:lineRule="exact"/>
              <w:jc w:val="right"/>
              <w:rPr>
                <w:rFonts w:ascii="Arial" w:hAnsi="Arial" w:cs="Arial"/>
                <w:color w:val="000000"/>
                <w:sz w:val="20"/>
                <w:szCs w:val="20"/>
              </w:rPr>
            </w:pPr>
            <w:r w:rsidRPr="000E3733">
              <w:rPr>
                <w:rFonts w:ascii="Arial" w:hAnsi="Arial" w:cs="Arial"/>
                <w:color w:val="000000"/>
                <w:sz w:val="20"/>
                <w:szCs w:val="20"/>
              </w:rPr>
              <w:t>1444.1</w:t>
            </w:r>
          </w:p>
        </w:tc>
        <w:tc>
          <w:tcPr>
            <w:tcW w:w="1696" w:type="dxa"/>
            <w:shd w:val="clear" w:color="auto" w:fill="BFBFBF"/>
            <w:vAlign w:val="bottom"/>
          </w:tcPr>
          <w:p w:rsidR="00341C13" w:rsidRPr="000E3733" w:rsidRDefault="00341C13" w:rsidP="000E3733">
            <w:pPr>
              <w:spacing w:after="0" w:line="300" w:lineRule="exact"/>
              <w:jc w:val="right"/>
              <w:rPr>
                <w:rFonts w:ascii="Arial" w:hAnsi="Arial" w:cs="Arial"/>
                <w:color w:val="000000"/>
                <w:sz w:val="20"/>
                <w:szCs w:val="20"/>
              </w:rPr>
            </w:pPr>
            <w:r w:rsidRPr="000E3733">
              <w:rPr>
                <w:rFonts w:ascii="Arial" w:hAnsi="Arial" w:cs="Arial"/>
                <w:color w:val="000000"/>
                <w:sz w:val="20"/>
                <w:szCs w:val="20"/>
              </w:rPr>
              <w:t>1367.8</w:t>
            </w:r>
          </w:p>
        </w:tc>
        <w:tc>
          <w:tcPr>
            <w:tcW w:w="1749" w:type="dxa"/>
            <w:vAlign w:val="bottom"/>
          </w:tcPr>
          <w:p w:rsidR="00341C13" w:rsidRPr="000E3733" w:rsidRDefault="00341C13" w:rsidP="000E3733">
            <w:pPr>
              <w:spacing w:after="0" w:line="300" w:lineRule="exact"/>
              <w:jc w:val="right"/>
              <w:rPr>
                <w:rFonts w:ascii="Arial" w:hAnsi="Arial" w:cs="Arial"/>
                <w:color w:val="000000"/>
                <w:sz w:val="20"/>
                <w:szCs w:val="20"/>
              </w:rPr>
            </w:pPr>
            <w:r w:rsidRPr="000E3733">
              <w:rPr>
                <w:rFonts w:ascii="Arial" w:hAnsi="Arial" w:cs="Arial"/>
                <w:color w:val="000000"/>
                <w:sz w:val="20"/>
                <w:szCs w:val="20"/>
              </w:rPr>
              <w:t>194.7</w:t>
            </w:r>
          </w:p>
        </w:tc>
      </w:tr>
      <w:tr w:rsidR="00341C13" w:rsidRPr="000E3733" w:rsidTr="00295B2B">
        <w:tc>
          <w:tcPr>
            <w:tcW w:w="1460" w:type="dxa"/>
            <w:vAlign w:val="bottom"/>
          </w:tcPr>
          <w:p w:rsidR="00341C13" w:rsidRPr="000E3733" w:rsidRDefault="00341C13" w:rsidP="000E3733">
            <w:pPr>
              <w:spacing w:after="0" w:line="300" w:lineRule="exact"/>
              <w:jc w:val="right"/>
              <w:rPr>
                <w:rFonts w:ascii="Arial" w:hAnsi="Arial" w:cs="Arial"/>
                <w:b/>
                <w:color w:val="000000"/>
                <w:sz w:val="20"/>
                <w:szCs w:val="20"/>
              </w:rPr>
            </w:pPr>
            <w:r w:rsidRPr="000E3733">
              <w:rPr>
                <w:rFonts w:ascii="Arial" w:hAnsi="Arial" w:cs="Arial"/>
                <w:b/>
                <w:color w:val="000000"/>
                <w:sz w:val="20"/>
                <w:szCs w:val="20"/>
              </w:rPr>
              <w:t>2010</w:t>
            </w:r>
          </w:p>
        </w:tc>
        <w:tc>
          <w:tcPr>
            <w:tcW w:w="2122" w:type="dxa"/>
            <w:shd w:val="clear" w:color="auto" w:fill="BFBFBF"/>
            <w:vAlign w:val="bottom"/>
          </w:tcPr>
          <w:p w:rsidR="00341C13" w:rsidRPr="000E3733" w:rsidRDefault="00341C13" w:rsidP="000E3733">
            <w:pPr>
              <w:spacing w:after="0" w:line="300" w:lineRule="exact"/>
              <w:jc w:val="right"/>
              <w:rPr>
                <w:rFonts w:ascii="Arial" w:hAnsi="Arial" w:cs="Arial"/>
                <w:color w:val="000000"/>
                <w:sz w:val="20"/>
                <w:szCs w:val="20"/>
              </w:rPr>
            </w:pPr>
            <w:r w:rsidRPr="000E3733">
              <w:rPr>
                <w:rFonts w:ascii="Arial" w:hAnsi="Arial" w:cs="Arial"/>
                <w:color w:val="000000"/>
                <w:sz w:val="20"/>
                <w:szCs w:val="20"/>
              </w:rPr>
              <w:t>2818.8</w:t>
            </w:r>
          </w:p>
        </w:tc>
        <w:tc>
          <w:tcPr>
            <w:tcW w:w="2261" w:type="dxa"/>
            <w:vAlign w:val="bottom"/>
          </w:tcPr>
          <w:p w:rsidR="00341C13" w:rsidRPr="000E3733" w:rsidRDefault="00341C13" w:rsidP="000E3733">
            <w:pPr>
              <w:spacing w:after="0" w:line="300" w:lineRule="exact"/>
              <w:jc w:val="right"/>
              <w:rPr>
                <w:rFonts w:ascii="Arial" w:hAnsi="Arial" w:cs="Arial"/>
                <w:color w:val="000000"/>
                <w:sz w:val="20"/>
                <w:szCs w:val="20"/>
              </w:rPr>
            </w:pPr>
            <w:r w:rsidRPr="000E3733">
              <w:rPr>
                <w:rFonts w:ascii="Arial" w:hAnsi="Arial" w:cs="Arial"/>
                <w:color w:val="000000"/>
                <w:sz w:val="20"/>
                <w:szCs w:val="20"/>
              </w:rPr>
              <w:t>1501.2</w:t>
            </w:r>
          </w:p>
        </w:tc>
        <w:tc>
          <w:tcPr>
            <w:tcW w:w="1696" w:type="dxa"/>
            <w:shd w:val="clear" w:color="auto" w:fill="BFBFBF"/>
            <w:vAlign w:val="bottom"/>
          </w:tcPr>
          <w:p w:rsidR="00341C13" w:rsidRPr="000E3733" w:rsidRDefault="00341C13" w:rsidP="000E3733">
            <w:pPr>
              <w:spacing w:after="0" w:line="300" w:lineRule="exact"/>
              <w:jc w:val="right"/>
              <w:rPr>
                <w:rFonts w:ascii="Arial" w:hAnsi="Arial" w:cs="Arial"/>
                <w:color w:val="000000"/>
                <w:sz w:val="20"/>
                <w:szCs w:val="20"/>
              </w:rPr>
            </w:pPr>
            <w:r w:rsidRPr="000E3733">
              <w:rPr>
                <w:rFonts w:ascii="Arial" w:hAnsi="Arial" w:cs="Arial"/>
                <w:color w:val="000000"/>
                <w:sz w:val="20"/>
                <w:szCs w:val="20"/>
              </w:rPr>
              <w:t>1317.6</w:t>
            </w:r>
          </w:p>
        </w:tc>
        <w:tc>
          <w:tcPr>
            <w:tcW w:w="1749" w:type="dxa"/>
            <w:vAlign w:val="bottom"/>
          </w:tcPr>
          <w:p w:rsidR="00341C13" w:rsidRPr="000E3733" w:rsidRDefault="00341C13" w:rsidP="000E3733">
            <w:pPr>
              <w:spacing w:after="0" w:line="300" w:lineRule="exact"/>
              <w:jc w:val="right"/>
              <w:rPr>
                <w:rFonts w:ascii="Arial" w:hAnsi="Arial" w:cs="Arial"/>
                <w:color w:val="000000"/>
                <w:sz w:val="20"/>
                <w:szCs w:val="20"/>
              </w:rPr>
            </w:pPr>
            <w:r w:rsidRPr="000E3733">
              <w:rPr>
                <w:rFonts w:ascii="Arial" w:hAnsi="Arial" w:cs="Arial"/>
                <w:color w:val="000000"/>
                <w:sz w:val="20"/>
                <w:szCs w:val="20"/>
              </w:rPr>
              <w:t>187.8</w:t>
            </w:r>
          </w:p>
        </w:tc>
      </w:tr>
      <w:tr w:rsidR="00341C13" w:rsidRPr="000E3733" w:rsidTr="00295B2B">
        <w:tc>
          <w:tcPr>
            <w:tcW w:w="1460" w:type="dxa"/>
            <w:vAlign w:val="bottom"/>
          </w:tcPr>
          <w:p w:rsidR="00341C13" w:rsidRPr="000E3733" w:rsidRDefault="00341C13" w:rsidP="000E3733">
            <w:pPr>
              <w:spacing w:after="0" w:line="300" w:lineRule="exact"/>
              <w:jc w:val="right"/>
              <w:rPr>
                <w:rFonts w:ascii="Arial" w:hAnsi="Arial" w:cs="Arial"/>
                <w:b/>
                <w:color w:val="000000"/>
                <w:sz w:val="20"/>
                <w:szCs w:val="20"/>
              </w:rPr>
            </w:pPr>
            <w:r w:rsidRPr="000E3733">
              <w:rPr>
                <w:rFonts w:ascii="Arial" w:hAnsi="Arial" w:cs="Arial"/>
                <w:b/>
                <w:color w:val="000000"/>
                <w:sz w:val="20"/>
                <w:szCs w:val="20"/>
              </w:rPr>
              <w:t>2011</w:t>
            </w:r>
          </w:p>
        </w:tc>
        <w:tc>
          <w:tcPr>
            <w:tcW w:w="2122" w:type="dxa"/>
            <w:shd w:val="clear" w:color="auto" w:fill="BFBFBF"/>
            <w:vAlign w:val="bottom"/>
          </w:tcPr>
          <w:p w:rsidR="00341C13" w:rsidRPr="000E3733" w:rsidRDefault="00341C13" w:rsidP="000E3733">
            <w:pPr>
              <w:spacing w:after="0" w:line="300" w:lineRule="exact"/>
              <w:jc w:val="right"/>
              <w:rPr>
                <w:rFonts w:ascii="Arial" w:hAnsi="Arial" w:cs="Arial"/>
                <w:color w:val="000000"/>
                <w:sz w:val="20"/>
                <w:szCs w:val="20"/>
              </w:rPr>
            </w:pPr>
            <w:r w:rsidRPr="000E3733">
              <w:rPr>
                <w:rFonts w:ascii="Arial" w:hAnsi="Arial" w:cs="Arial"/>
                <w:color w:val="000000"/>
                <w:sz w:val="20"/>
                <w:szCs w:val="20"/>
              </w:rPr>
              <w:t>2778.2</w:t>
            </w:r>
          </w:p>
        </w:tc>
        <w:tc>
          <w:tcPr>
            <w:tcW w:w="2261" w:type="dxa"/>
            <w:vAlign w:val="bottom"/>
          </w:tcPr>
          <w:p w:rsidR="00341C13" w:rsidRPr="000E3733" w:rsidRDefault="00341C13" w:rsidP="000E3733">
            <w:pPr>
              <w:spacing w:after="0" w:line="300" w:lineRule="exact"/>
              <w:jc w:val="right"/>
              <w:rPr>
                <w:rFonts w:ascii="Arial" w:hAnsi="Arial" w:cs="Arial"/>
                <w:color w:val="000000"/>
                <w:sz w:val="20"/>
                <w:szCs w:val="20"/>
              </w:rPr>
            </w:pPr>
            <w:r w:rsidRPr="000E3733">
              <w:rPr>
                <w:rFonts w:ascii="Arial" w:hAnsi="Arial" w:cs="Arial"/>
                <w:color w:val="000000"/>
                <w:sz w:val="20"/>
                <w:szCs w:val="20"/>
              </w:rPr>
              <w:t>1374.7</w:t>
            </w:r>
          </w:p>
        </w:tc>
        <w:tc>
          <w:tcPr>
            <w:tcW w:w="1696" w:type="dxa"/>
            <w:shd w:val="clear" w:color="auto" w:fill="BFBFBF"/>
            <w:vAlign w:val="bottom"/>
          </w:tcPr>
          <w:p w:rsidR="00341C13" w:rsidRPr="000E3733" w:rsidRDefault="00341C13" w:rsidP="000E3733">
            <w:pPr>
              <w:spacing w:after="0" w:line="300" w:lineRule="exact"/>
              <w:jc w:val="right"/>
              <w:rPr>
                <w:rFonts w:ascii="Arial" w:hAnsi="Arial" w:cs="Arial"/>
                <w:color w:val="000000"/>
                <w:sz w:val="20"/>
                <w:szCs w:val="20"/>
              </w:rPr>
            </w:pPr>
            <w:r w:rsidRPr="000E3733">
              <w:rPr>
                <w:rFonts w:ascii="Arial" w:hAnsi="Arial" w:cs="Arial"/>
                <w:color w:val="000000"/>
                <w:sz w:val="20"/>
                <w:szCs w:val="20"/>
              </w:rPr>
              <w:t>1403.5</w:t>
            </w:r>
          </w:p>
        </w:tc>
        <w:tc>
          <w:tcPr>
            <w:tcW w:w="1749" w:type="dxa"/>
            <w:vAlign w:val="bottom"/>
          </w:tcPr>
          <w:p w:rsidR="00341C13" w:rsidRPr="000E3733" w:rsidRDefault="00341C13" w:rsidP="000E3733">
            <w:pPr>
              <w:spacing w:after="0" w:line="300" w:lineRule="exact"/>
              <w:jc w:val="right"/>
              <w:rPr>
                <w:rFonts w:ascii="Arial" w:hAnsi="Arial" w:cs="Arial"/>
                <w:color w:val="000000"/>
                <w:sz w:val="20"/>
                <w:szCs w:val="20"/>
              </w:rPr>
            </w:pPr>
            <w:r w:rsidRPr="000E3733">
              <w:rPr>
                <w:rFonts w:ascii="Arial" w:hAnsi="Arial" w:cs="Arial"/>
                <w:color w:val="000000"/>
                <w:sz w:val="20"/>
                <w:szCs w:val="20"/>
              </w:rPr>
              <w:t>202.1</w:t>
            </w:r>
          </w:p>
        </w:tc>
      </w:tr>
      <w:tr w:rsidR="00341C13" w:rsidRPr="000E3733" w:rsidTr="00295B2B">
        <w:tc>
          <w:tcPr>
            <w:tcW w:w="1460" w:type="dxa"/>
            <w:vAlign w:val="bottom"/>
          </w:tcPr>
          <w:p w:rsidR="00341C13" w:rsidRPr="000E3733" w:rsidRDefault="00341C13" w:rsidP="000E3733">
            <w:pPr>
              <w:spacing w:after="0" w:line="300" w:lineRule="exact"/>
              <w:jc w:val="right"/>
              <w:rPr>
                <w:rFonts w:ascii="Arial" w:hAnsi="Arial" w:cs="Arial"/>
                <w:b/>
                <w:color w:val="000000"/>
                <w:sz w:val="20"/>
                <w:szCs w:val="20"/>
              </w:rPr>
            </w:pPr>
            <w:r w:rsidRPr="000E3733">
              <w:rPr>
                <w:rFonts w:ascii="Arial" w:hAnsi="Arial" w:cs="Arial"/>
                <w:b/>
                <w:color w:val="000000"/>
                <w:sz w:val="20"/>
                <w:szCs w:val="20"/>
              </w:rPr>
              <w:t>2012</w:t>
            </w:r>
          </w:p>
        </w:tc>
        <w:tc>
          <w:tcPr>
            <w:tcW w:w="2122" w:type="dxa"/>
            <w:shd w:val="clear" w:color="auto" w:fill="BFBFBF"/>
            <w:vAlign w:val="bottom"/>
          </w:tcPr>
          <w:p w:rsidR="00341C13" w:rsidRPr="000E3733" w:rsidRDefault="00341C13" w:rsidP="000E3733">
            <w:pPr>
              <w:spacing w:after="0" w:line="300" w:lineRule="exact"/>
              <w:jc w:val="right"/>
              <w:rPr>
                <w:rFonts w:ascii="Arial" w:hAnsi="Arial" w:cs="Arial"/>
                <w:color w:val="000000"/>
                <w:sz w:val="20"/>
                <w:szCs w:val="20"/>
              </w:rPr>
            </w:pPr>
            <w:r w:rsidRPr="000E3733">
              <w:rPr>
                <w:rFonts w:ascii="Arial" w:hAnsi="Arial" w:cs="Arial"/>
                <w:color w:val="000000"/>
                <w:sz w:val="20"/>
                <w:szCs w:val="20"/>
              </w:rPr>
              <w:t>2722.8</w:t>
            </w:r>
          </w:p>
        </w:tc>
        <w:tc>
          <w:tcPr>
            <w:tcW w:w="2261" w:type="dxa"/>
            <w:vAlign w:val="bottom"/>
          </w:tcPr>
          <w:p w:rsidR="00341C13" w:rsidRPr="000E3733" w:rsidRDefault="00341C13" w:rsidP="000E3733">
            <w:pPr>
              <w:spacing w:after="0" w:line="300" w:lineRule="exact"/>
              <w:jc w:val="right"/>
              <w:rPr>
                <w:rFonts w:ascii="Arial" w:hAnsi="Arial" w:cs="Arial"/>
                <w:color w:val="000000"/>
                <w:sz w:val="20"/>
                <w:szCs w:val="20"/>
              </w:rPr>
            </w:pPr>
            <w:r w:rsidRPr="000E3733">
              <w:rPr>
                <w:rFonts w:ascii="Arial" w:hAnsi="Arial" w:cs="Arial"/>
                <w:color w:val="000000"/>
                <w:sz w:val="20"/>
                <w:szCs w:val="20"/>
              </w:rPr>
              <w:t>1403.0</w:t>
            </w:r>
          </w:p>
        </w:tc>
        <w:tc>
          <w:tcPr>
            <w:tcW w:w="1696" w:type="dxa"/>
            <w:shd w:val="clear" w:color="auto" w:fill="BFBFBF"/>
            <w:vAlign w:val="bottom"/>
          </w:tcPr>
          <w:p w:rsidR="00341C13" w:rsidRPr="000E3733" w:rsidRDefault="00341C13" w:rsidP="000E3733">
            <w:pPr>
              <w:spacing w:after="0" w:line="300" w:lineRule="exact"/>
              <w:jc w:val="right"/>
              <w:rPr>
                <w:rFonts w:ascii="Arial" w:hAnsi="Arial" w:cs="Arial"/>
                <w:color w:val="000000"/>
                <w:sz w:val="20"/>
                <w:szCs w:val="20"/>
              </w:rPr>
            </w:pPr>
            <w:r w:rsidRPr="000E3733">
              <w:rPr>
                <w:rFonts w:ascii="Arial" w:hAnsi="Arial" w:cs="Arial"/>
                <w:color w:val="000000"/>
                <w:sz w:val="20"/>
                <w:szCs w:val="20"/>
              </w:rPr>
              <w:t>1319.8</w:t>
            </w:r>
          </w:p>
        </w:tc>
        <w:tc>
          <w:tcPr>
            <w:tcW w:w="1749" w:type="dxa"/>
            <w:vAlign w:val="bottom"/>
          </w:tcPr>
          <w:p w:rsidR="00341C13" w:rsidRPr="000E3733" w:rsidRDefault="00341C13" w:rsidP="000E3733">
            <w:pPr>
              <w:spacing w:after="0" w:line="300" w:lineRule="exact"/>
              <w:jc w:val="right"/>
              <w:rPr>
                <w:rFonts w:ascii="Arial" w:hAnsi="Arial" w:cs="Arial"/>
                <w:color w:val="000000"/>
                <w:sz w:val="20"/>
                <w:szCs w:val="20"/>
              </w:rPr>
            </w:pPr>
            <w:r w:rsidRPr="000E3733">
              <w:rPr>
                <w:rFonts w:ascii="Arial" w:hAnsi="Arial" w:cs="Arial"/>
                <w:color w:val="000000"/>
                <w:sz w:val="20"/>
                <w:szCs w:val="20"/>
              </w:rPr>
              <w:t>194.1</w:t>
            </w:r>
          </w:p>
        </w:tc>
      </w:tr>
      <w:tr w:rsidR="00341C13" w:rsidRPr="000E3733" w:rsidTr="00295B2B">
        <w:tc>
          <w:tcPr>
            <w:tcW w:w="1460" w:type="dxa"/>
            <w:vAlign w:val="bottom"/>
          </w:tcPr>
          <w:p w:rsidR="00341C13" w:rsidRPr="000E3733" w:rsidRDefault="00341C13" w:rsidP="000E3733">
            <w:pPr>
              <w:spacing w:after="0" w:line="300" w:lineRule="exact"/>
              <w:jc w:val="right"/>
              <w:rPr>
                <w:rFonts w:ascii="Arial" w:hAnsi="Arial" w:cs="Arial"/>
                <w:b/>
                <w:color w:val="000000"/>
                <w:sz w:val="20"/>
                <w:szCs w:val="20"/>
              </w:rPr>
            </w:pPr>
            <w:r w:rsidRPr="000E3733">
              <w:rPr>
                <w:rFonts w:ascii="Arial" w:hAnsi="Arial" w:cs="Arial"/>
                <w:b/>
                <w:color w:val="000000"/>
                <w:sz w:val="20"/>
                <w:szCs w:val="20"/>
              </w:rPr>
              <w:t>2013</w:t>
            </w:r>
          </w:p>
        </w:tc>
        <w:tc>
          <w:tcPr>
            <w:tcW w:w="2122" w:type="dxa"/>
            <w:shd w:val="clear" w:color="auto" w:fill="BFBFBF"/>
            <w:vAlign w:val="bottom"/>
          </w:tcPr>
          <w:p w:rsidR="00341C13" w:rsidRPr="000E3733" w:rsidRDefault="00341C13" w:rsidP="000E3733">
            <w:pPr>
              <w:spacing w:after="0" w:line="300" w:lineRule="exact"/>
              <w:jc w:val="right"/>
              <w:rPr>
                <w:rFonts w:ascii="Arial" w:hAnsi="Arial" w:cs="Arial"/>
                <w:color w:val="000000"/>
                <w:sz w:val="20"/>
                <w:szCs w:val="20"/>
              </w:rPr>
            </w:pPr>
            <w:r w:rsidRPr="000E3733">
              <w:rPr>
                <w:rFonts w:ascii="Arial" w:hAnsi="Arial" w:cs="Arial"/>
                <w:color w:val="000000"/>
                <w:sz w:val="20"/>
                <w:szCs w:val="20"/>
              </w:rPr>
              <w:t>2620.9</w:t>
            </w:r>
          </w:p>
        </w:tc>
        <w:tc>
          <w:tcPr>
            <w:tcW w:w="2261" w:type="dxa"/>
            <w:vAlign w:val="bottom"/>
          </w:tcPr>
          <w:p w:rsidR="00341C13" w:rsidRPr="000E3733" w:rsidRDefault="00341C13" w:rsidP="000E3733">
            <w:pPr>
              <w:spacing w:after="0" w:line="300" w:lineRule="exact"/>
              <w:jc w:val="right"/>
              <w:rPr>
                <w:rFonts w:ascii="Arial" w:hAnsi="Arial" w:cs="Arial"/>
                <w:color w:val="000000"/>
                <w:sz w:val="20"/>
                <w:szCs w:val="20"/>
              </w:rPr>
            </w:pPr>
            <w:r w:rsidRPr="000E3733">
              <w:rPr>
                <w:rFonts w:ascii="Arial" w:hAnsi="Arial" w:cs="Arial"/>
                <w:color w:val="000000"/>
                <w:sz w:val="20"/>
                <w:szCs w:val="20"/>
              </w:rPr>
              <w:t>1429.1</w:t>
            </w:r>
          </w:p>
        </w:tc>
        <w:tc>
          <w:tcPr>
            <w:tcW w:w="1696" w:type="dxa"/>
            <w:shd w:val="clear" w:color="auto" w:fill="BFBFBF"/>
            <w:vAlign w:val="bottom"/>
          </w:tcPr>
          <w:p w:rsidR="00341C13" w:rsidRPr="000E3733" w:rsidRDefault="00341C13" w:rsidP="000E3733">
            <w:pPr>
              <w:spacing w:after="0" w:line="300" w:lineRule="exact"/>
              <w:jc w:val="right"/>
              <w:rPr>
                <w:rFonts w:ascii="Arial" w:hAnsi="Arial" w:cs="Arial"/>
                <w:color w:val="000000"/>
                <w:sz w:val="20"/>
                <w:szCs w:val="20"/>
              </w:rPr>
            </w:pPr>
            <w:r w:rsidRPr="000E3733">
              <w:rPr>
                <w:rFonts w:ascii="Arial" w:hAnsi="Arial" w:cs="Arial"/>
                <w:color w:val="000000"/>
                <w:sz w:val="20"/>
                <w:szCs w:val="20"/>
              </w:rPr>
              <w:t>1191.8</w:t>
            </w:r>
          </w:p>
        </w:tc>
        <w:tc>
          <w:tcPr>
            <w:tcW w:w="1749" w:type="dxa"/>
            <w:vAlign w:val="bottom"/>
          </w:tcPr>
          <w:p w:rsidR="00341C13" w:rsidRPr="000E3733" w:rsidRDefault="00341C13" w:rsidP="000E3733">
            <w:pPr>
              <w:spacing w:after="0" w:line="300" w:lineRule="exact"/>
              <w:jc w:val="right"/>
              <w:rPr>
                <w:rFonts w:ascii="Arial" w:hAnsi="Arial" w:cs="Arial"/>
                <w:color w:val="000000"/>
                <w:sz w:val="20"/>
                <w:szCs w:val="20"/>
              </w:rPr>
            </w:pPr>
            <w:r w:rsidRPr="000E3733">
              <w:rPr>
                <w:rFonts w:ascii="Arial" w:hAnsi="Arial" w:cs="Arial"/>
                <w:color w:val="000000"/>
                <w:sz w:val="20"/>
                <w:szCs w:val="20"/>
              </w:rPr>
              <w:t>183.4</w:t>
            </w:r>
          </w:p>
        </w:tc>
      </w:tr>
      <w:tr w:rsidR="00341C13" w:rsidRPr="000E3733" w:rsidTr="00295B2B">
        <w:tc>
          <w:tcPr>
            <w:tcW w:w="1460" w:type="dxa"/>
            <w:vAlign w:val="bottom"/>
          </w:tcPr>
          <w:p w:rsidR="00341C13" w:rsidRPr="000E3733" w:rsidRDefault="00341C13" w:rsidP="000E3733">
            <w:pPr>
              <w:spacing w:after="0" w:line="300" w:lineRule="exact"/>
              <w:jc w:val="right"/>
              <w:rPr>
                <w:rFonts w:ascii="Arial" w:hAnsi="Arial" w:cs="Arial"/>
                <w:b/>
                <w:color w:val="000000"/>
                <w:sz w:val="20"/>
                <w:szCs w:val="20"/>
              </w:rPr>
            </w:pPr>
            <w:r w:rsidRPr="000E3733">
              <w:rPr>
                <w:rFonts w:ascii="Arial" w:hAnsi="Arial" w:cs="Arial"/>
                <w:b/>
                <w:color w:val="000000"/>
                <w:sz w:val="20"/>
                <w:szCs w:val="20"/>
              </w:rPr>
              <w:t>2014</w:t>
            </w:r>
          </w:p>
        </w:tc>
        <w:tc>
          <w:tcPr>
            <w:tcW w:w="2122" w:type="dxa"/>
            <w:shd w:val="clear" w:color="auto" w:fill="BFBFBF"/>
            <w:vAlign w:val="bottom"/>
          </w:tcPr>
          <w:p w:rsidR="00341C13" w:rsidRPr="000E3733" w:rsidRDefault="00341C13" w:rsidP="000E3733">
            <w:pPr>
              <w:spacing w:after="0" w:line="300" w:lineRule="exact"/>
              <w:jc w:val="right"/>
              <w:rPr>
                <w:rFonts w:ascii="Arial" w:hAnsi="Arial" w:cs="Arial"/>
                <w:color w:val="000000"/>
                <w:sz w:val="20"/>
                <w:szCs w:val="20"/>
              </w:rPr>
            </w:pPr>
            <w:r w:rsidRPr="000E3733">
              <w:rPr>
                <w:rFonts w:ascii="Arial" w:hAnsi="Arial" w:cs="Arial"/>
                <w:color w:val="000000"/>
                <w:sz w:val="20"/>
                <w:szCs w:val="20"/>
              </w:rPr>
              <w:t>2623.6</w:t>
            </w:r>
          </w:p>
        </w:tc>
        <w:tc>
          <w:tcPr>
            <w:tcW w:w="2261" w:type="dxa"/>
            <w:vAlign w:val="bottom"/>
          </w:tcPr>
          <w:p w:rsidR="00341C13" w:rsidRPr="000E3733" w:rsidRDefault="00341C13" w:rsidP="000E3733">
            <w:pPr>
              <w:spacing w:after="0" w:line="300" w:lineRule="exact"/>
              <w:jc w:val="right"/>
              <w:rPr>
                <w:rFonts w:ascii="Arial" w:hAnsi="Arial" w:cs="Arial"/>
                <w:color w:val="000000"/>
                <w:sz w:val="20"/>
                <w:szCs w:val="20"/>
              </w:rPr>
            </w:pPr>
            <w:r w:rsidRPr="000E3733">
              <w:rPr>
                <w:rFonts w:ascii="Arial" w:hAnsi="Arial" w:cs="Arial"/>
                <w:color w:val="000000"/>
                <w:sz w:val="20"/>
                <w:szCs w:val="20"/>
              </w:rPr>
              <w:t>1394.6</w:t>
            </w:r>
          </w:p>
        </w:tc>
        <w:tc>
          <w:tcPr>
            <w:tcW w:w="1696" w:type="dxa"/>
            <w:shd w:val="clear" w:color="auto" w:fill="BFBFBF"/>
            <w:vAlign w:val="bottom"/>
          </w:tcPr>
          <w:p w:rsidR="00341C13" w:rsidRPr="000E3733" w:rsidRDefault="00341C13" w:rsidP="000E3733">
            <w:pPr>
              <w:spacing w:after="0" w:line="300" w:lineRule="exact"/>
              <w:jc w:val="right"/>
              <w:rPr>
                <w:rFonts w:ascii="Arial" w:hAnsi="Arial" w:cs="Arial"/>
                <w:color w:val="000000"/>
                <w:sz w:val="20"/>
                <w:szCs w:val="20"/>
              </w:rPr>
            </w:pPr>
            <w:r w:rsidRPr="000E3733">
              <w:rPr>
                <w:rFonts w:ascii="Arial" w:hAnsi="Arial" w:cs="Arial"/>
                <w:color w:val="000000"/>
                <w:sz w:val="20"/>
                <w:szCs w:val="20"/>
              </w:rPr>
              <w:t>1229.0</w:t>
            </w:r>
          </w:p>
        </w:tc>
        <w:tc>
          <w:tcPr>
            <w:tcW w:w="1749" w:type="dxa"/>
            <w:vAlign w:val="bottom"/>
          </w:tcPr>
          <w:p w:rsidR="00341C13" w:rsidRPr="000E3733" w:rsidRDefault="00341C13" w:rsidP="000E3733">
            <w:pPr>
              <w:spacing w:after="0" w:line="300" w:lineRule="exact"/>
              <w:jc w:val="right"/>
              <w:rPr>
                <w:rFonts w:ascii="Arial" w:hAnsi="Arial" w:cs="Arial"/>
                <w:color w:val="000000"/>
                <w:sz w:val="20"/>
                <w:szCs w:val="20"/>
              </w:rPr>
            </w:pPr>
            <w:r w:rsidRPr="000E3733">
              <w:rPr>
                <w:rFonts w:ascii="Arial" w:hAnsi="Arial" w:cs="Arial"/>
                <w:color w:val="000000"/>
                <w:sz w:val="20"/>
                <w:szCs w:val="20"/>
              </w:rPr>
              <w:t>188.1</w:t>
            </w:r>
          </w:p>
        </w:tc>
      </w:tr>
      <w:tr w:rsidR="00341C13" w:rsidRPr="000E3733" w:rsidTr="00295B2B">
        <w:tc>
          <w:tcPr>
            <w:tcW w:w="1460" w:type="dxa"/>
            <w:vAlign w:val="bottom"/>
          </w:tcPr>
          <w:p w:rsidR="00341C13" w:rsidRPr="000E3733" w:rsidRDefault="00341C13" w:rsidP="000E3733">
            <w:pPr>
              <w:spacing w:after="0" w:line="300" w:lineRule="exact"/>
              <w:jc w:val="right"/>
              <w:rPr>
                <w:rFonts w:ascii="Arial" w:hAnsi="Arial" w:cs="Arial"/>
                <w:b/>
                <w:color w:val="000000"/>
                <w:sz w:val="20"/>
                <w:szCs w:val="20"/>
              </w:rPr>
            </w:pPr>
            <w:r w:rsidRPr="000E3733">
              <w:rPr>
                <w:rFonts w:ascii="Arial" w:hAnsi="Arial" w:cs="Arial"/>
                <w:b/>
                <w:color w:val="000000"/>
                <w:sz w:val="20"/>
                <w:szCs w:val="20"/>
              </w:rPr>
              <w:t>2015</w:t>
            </w:r>
          </w:p>
        </w:tc>
        <w:tc>
          <w:tcPr>
            <w:tcW w:w="2122" w:type="dxa"/>
            <w:shd w:val="clear" w:color="auto" w:fill="BFBFBF"/>
            <w:vAlign w:val="bottom"/>
          </w:tcPr>
          <w:p w:rsidR="00341C13" w:rsidRPr="000E3733" w:rsidRDefault="00341C13" w:rsidP="000E3733">
            <w:pPr>
              <w:spacing w:after="0" w:line="300" w:lineRule="exact"/>
              <w:jc w:val="right"/>
              <w:rPr>
                <w:rFonts w:ascii="Arial" w:hAnsi="Arial" w:cs="Arial"/>
                <w:color w:val="000000"/>
                <w:sz w:val="20"/>
                <w:szCs w:val="20"/>
              </w:rPr>
            </w:pPr>
            <w:r w:rsidRPr="000E3733">
              <w:rPr>
                <w:rFonts w:ascii="Arial" w:hAnsi="Arial" w:cs="Arial"/>
                <w:color w:val="000000"/>
                <w:sz w:val="20"/>
                <w:szCs w:val="20"/>
              </w:rPr>
              <w:t>2594.3</w:t>
            </w:r>
          </w:p>
        </w:tc>
        <w:tc>
          <w:tcPr>
            <w:tcW w:w="2261" w:type="dxa"/>
            <w:vAlign w:val="bottom"/>
          </w:tcPr>
          <w:p w:rsidR="00341C13" w:rsidRPr="000E3733" w:rsidRDefault="00341C13" w:rsidP="000E3733">
            <w:pPr>
              <w:spacing w:after="0" w:line="300" w:lineRule="exact"/>
              <w:jc w:val="right"/>
              <w:rPr>
                <w:rFonts w:ascii="Arial" w:hAnsi="Arial" w:cs="Arial"/>
                <w:color w:val="000000"/>
                <w:sz w:val="20"/>
                <w:szCs w:val="20"/>
              </w:rPr>
            </w:pPr>
            <w:r w:rsidRPr="000E3733">
              <w:rPr>
                <w:rFonts w:ascii="Arial" w:hAnsi="Arial" w:cs="Arial"/>
                <w:color w:val="000000"/>
                <w:sz w:val="20"/>
                <w:szCs w:val="20"/>
              </w:rPr>
              <w:t>1417.9</w:t>
            </w:r>
          </w:p>
        </w:tc>
        <w:tc>
          <w:tcPr>
            <w:tcW w:w="1696" w:type="dxa"/>
            <w:shd w:val="clear" w:color="auto" w:fill="BFBFBF"/>
            <w:vAlign w:val="bottom"/>
          </w:tcPr>
          <w:p w:rsidR="00341C13" w:rsidRPr="000E3733" w:rsidRDefault="00341C13" w:rsidP="000E3733">
            <w:pPr>
              <w:spacing w:after="0" w:line="300" w:lineRule="exact"/>
              <w:jc w:val="right"/>
              <w:rPr>
                <w:rFonts w:ascii="Arial" w:hAnsi="Arial" w:cs="Arial"/>
                <w:color w:val="000000"/>
                <w:sz w:val="20"/>
                <w:szCs w:val="20"/>
              </w:rPr>
            </w:pPr>
            <w:r w:rsidRPr="000E3733">
              <w:rPr>
                <w:rFonts w:ascii="Arial" w:hAnsi="Arial" w:cs="Arial"/>
                <w:color w:val="000000"/>
                <w:sz w:val="20"/>
                <w:szCs w:val="20"/>
              </w:rPr>
              <w:t>1176.4</w:t>
            </w:r>
          </w:p>
        </w:tc>
        <w:tc>
          <w:tcPr>
            <w:tcW w:w="1749" w:type="dxa"/>
            <w:vAlign w:val="bottom"/>
          </w:tcPr>
          <w:p w:rsidR="00341C13" w:rsidRPr="000E3733" w:rsidRDefault="00341C13" w:rsidP="000E3733">
            <w:pPr>
              <w:spacing w:after="0" w:line="300" w:lineRule="exact"/>
              <w:jc w:val="right"/>
              <w:rPr>
                <w:rFonts w:ascii="Arial" w:hAnsi="Arial" w:cs="Arial"/>
                <w:color w:val="000000"/>
                <w:sz w:val="20"/>
                <w:szCs w:val="20"/>
              </w:rPr>
            </w:pPr>
            <w:r w:rsidRPr="000E3733">
              <w:rPr>
                <w:rFonts w:ascii="Arial" w:hAnsi="Arial" w:cs="Arial"/>
                <w:color w:val="000000"/>
                <w:sz w:val="20"/>
                <w:szCs w:val="20"/>
              </w:rPr>
              <w:t>183.0</w:t>
            </w:r>
          </w:p>
        </w:tc>
      </w:tr>
      <w:tr w:rsidR="00341C13" w:rsidRPr="000E3733" w:rsidTr="00295B2B">
        <w:tc>
          <w:tcPr>
            <w:tcW w:w="1460" w:type="dxa"/>
            <w:vAlign w:val="bottom"/>
          </w:tcPr>
          <w:p w:rsidR="00341C13" w:rsidRPr="000E3733" w:rsidRDefault="00341C13" w:rsidP="000E3733">
            <w:pPr>
              <w:spacing w:after="0" w:line="300" w:lineRule="exact"/>
              <w:jc w:val="right"/>
              <w:rPr>
                <w:rFonts w:ascii="Arial" w:hAnsi="Arial" w:cs="Arial"/>
                <w:b/>
                <w:color w:val="000000"/>
                <w:sz w:val="20"/>
                <w:szCs w:val="20"/>
              </w:rPr>
            </w:pPr>
            <w:r w:rsidRPr="000E3733">
              <w:rPr>
                <w:rFonts w:ascii="Arial" w:hAnsi="Arial" w:cs="Arial"/>
                <w:b/>
                <w:color w:val="000000"/>
                <w:sz w:val="20"/>
                <w:szCs w:val="20"/>
              </w:rPr>
              <w:t>2016</w:t>
            </w:r>
          </w:p>
        </w:tc>
        <w:tc>
          <w:tcPr>
            <w:tcW w:w="2122" w:type="dxa"/>
            <w:shd w:val="clear" w:color="auto" w:fill="BFBFBF"/>
            <w:vAlign w:val="bottom"/>
          </w:tcPr>
          <w:p w:rsidR="00341C13" w:rsidRPr="000E3733" w:rsidRDefault="00341C13" w:rsidP="000E3733">
            <w:pPr>
              <w:spacing w:after="0" w:line="300" w:lineRule="exact"/>
              <w:jc w:val="right"/>
              <w:rPr>
                <w:rFonts w:ascii="Arial" w:hAnsi="Arial" w:cs="Arial"/>
                <w:color w:val="000000"/>
                <w:sz w:val="20"/>
                <w:szCs w:val="20"/>
              </w:rPr>
            </w:pPr>
            <w:r w:rsidRPr="000E3733">
              <w:rPr>
                <w:rFonts w:ascii="Arial" w:hAnsi="Arial" w:cs="Arial"/>
                <w:color w:val="000000"/>
                <w:sz w:val="20"/>
                <w:szCs w:val="20"/>
              </w:rPr>
              <w:t>2528.5</w:t>
            </w:r>
          </w:p>
        </w:tc>
        <w:tc>
          <w:tcPr>
            <w:tcW w:w="2261" w:type="dxa"/>
            <w:vAlign w:val="bottom"/>
          </w:tcPr>
          <w:p w:rsidR="00341C13" w:rsidRPr="000E3733" w:rsidRDefault="00341C13" w:rsidP="000E3733">
            <w:pPr>
              <w:spacing w:after="0" w:line="300" w:lineRule="exact"/>
              <w:jc w:val="right"/>
              <w:rPr>
                <w:rFonts w:ascii="Arial" w:hAnsi="Arial" w:cs="Arial"/>
                <w:color w:val="000000"/>
                <w:sz w:val="20"/>
                <w:szCs w:val="20"/>
              </w:rPr>
            </w:pPr>
            <w:r w:rsidRPr="000E3733">
              <w:rPr>
                <w:rFonts w:ascii="Arial" w:hAnsi="Arial" w:cs="Arial"/>
                <w:color w:val="000000"/>
                <w:sz w:val="20"/>
                <w:szCs w:val="20"/>
              </w:rPr>
              <w:t>1452.3</w:t>
            </w:r>
          </w:p>
        </w:tc>
        <w:tc>
          <w:tcPr>
            <w:tcW w:w="1696" w:type="dxa"/>
            <w:shd w:val="clear" w:color="auto" w:fill="BFBFBF"/>
            <w:vAlign w:val="bottom"/>
          </w:tcPr>
          <w:p w:rsidR="00341C13" w:rsidRPr="000E3733" w:rsidRDefault="00341C13" w:rsidP="000E3733">
            <w:pPr>
              <w:spacing w:after="0" w:line="300" w:lineRule="exact"/>
              <w:jc w:val="right"/>
              <w:rPr>
                <w:rFonts w:ascii="Arial" w:hAnsi="Arial" w:cs="Arial"/>
                <w:color w:val="000000"/>
                <w:sz w:val="20"/>
                <w:szCs w:val="20"/>
              </w:rPr>
            </w:pPr>
            <w:r w:rsidRPr="000E3733">
              <w:rPr>
                <w:rFonts w:ascii="Arial" w:hAnsi="Arial" w:cs="Arial"/>
                <w:color w:val="000000"/>
                <w:sz w:val="20"/>
                <w:szCs w:val="20"/>
              </w:rPr>
              <w:t>1076.2</w:t>
            </w:r>
          </w:p>
        </w:tc>
        <w:tc>
          <w:tcPr>
            <w:tcW w:w="1749" w:type="dxa"/>
            <w:vAlign w:val="bottom"/>
          </w:tcPr>
          <w:p w:rsidR="00341C13" w:rsidRPr="000E3733" w:rsidRDefault="00341C13" w:rsidP="000E3733">
            <w:pPr>
              <w:spacing w:after="0" w:line="300" w:lineRule="exact"/>
              <w:jc w:val="right"/>
              <w:rPr>
                <w:rFonts w:ascii="Arial" w:hAnsi="Arial" w:cs="Arial"/>
                <w:color w:val="000000"/>
                <w:sz w:val="20"/>
                <w:szCs w:val="20"/>
              </w:rPr>
            </w:pPr>
            <w:r w:rsidRPr="000E3733">
              <w:rPr>
                <w:rFonts w:ascii="Arial" w:hAnsi="Arial" w:cs="Arial"/>
                <w:color w:val="000000"/>
                <w:sz w:val="20"/>
                <w:szCs w:val="20"/>
              </w:rPr>
              <w:t>174.1</w:t>
            </w:r>
          </w:p>
        </w:tc>
      </w:tr>
      <w:tr w:rsidR="00341C13" w:rsidRPr="000E3733" w:rsidTr="00295B2B">
        <w:tc>
          <w:tcPr>
            <w:tcW w:w="1460" w:type="dxa"/>
            <w:vAlign w:val="bottom"/>
          </w:tcPr>
          <w:p w:rsidR="00341C13" w:rsidRPr="000E3733" w:rsidRDefault="00341C13" w:rsidP="000E3733">
            <w:pPr>
              <w:spacing w:after="0" w:line="300" w:lineRule="exact"/>
              <w:jc w:val="right"/>
              <w:rPr>
                <w:rFonts w:ascii="Arial" w:hAnsi="Arial" w:cs="Arial"/>
                <w:b/>
                <w:color w:val="000000"/>
                <w:sz w:val="20"/>
                <w:szCs w:val="20"/>
              </w:rPr>
            </w:pPr>
            <w:r w:rsidRPr="000E3733">
              <w:rPr>
                <w:rFonts w:ascii="Arial" w:hAnsi="Arial" w:cs="Arial"/>
                <w:b/>
                <w:color w:val="000000"/>
                <w:sz w:val="20"/>
                <w:szCs w:val="20"/>
              </w:rPr>
              <w:t>2017</w:t>
            </w:r>
          </w:p>
        </w:tc>
        <w:tc>
          <w:tcPr>
            <w:tcW w:w="2122" w:type="dxa"/>
            <w:shd w:val="clear" w:color="auto" w:fill="BFBFBF"/>
            <w:vAlign w:val="bottom"/>
          </w:tcPr>
          <w:p w:rsidR="00341C13" w:rsidRPr="000E3733" w:rsidRDefault="00341C13" w:rsidP="000E3733">
            <w:pPr>
              <w:spacing w:after="0" w:line="300" w:lineRule="exact"/>
              <w:jc w:val="right"/>
              <w:rPr>
                <w:rFonts w:ascii="Arial" w:hAnsi="Arial" w:cs="Arial"/>
                <w:color w:val="000000"/>
                <w:sz w:val="20"/>
                <w:szCs w:val="20"/>
              </w:rPr>
            </w:pPr>
            <w:r w:rsidRPr="000E3733">
              <w:rPr>
                <w:rFonts w:ascii="Arial" w:hAnsi="Arial" w:cs="Arial"/>
                <w:color w:val="000000"/>
                <w:sz w:val="20"/>
                <w:szCs w:val="20"/>
              </w:rPr>
              <w:t>2463.2</w:t>
            </w:r>
          </w:p>
        </w:tc>
        <w:tc>
          <w:tcPr>
            <w:tcW w:w="2261" w:type="dxa"/>
            <w:vAlign w:val="bottom"/>
          </w:tcPr>
          <w:p w:rsidR="00341C13" w:rsidRPr="000E3733" w:rsidRDefault="00341C13" w:rsidP="000E3733">
            <w:pPr>
              <w:spacing w:after="0" w:line="300" w:lineRule="exact"/>
              <w:jc w:val="right"/>
              <w:rPr>
                <w:rFonts w:ascii="Arial" w:hAnsi="Arial" w:cs="Arial"/>
                <w:color w:val="000000"/>
                <w:sz w:val="20"/>
                <w:szCs w:val="20"/>
              </w:rPr>
            </w:pPr>
            <w:r w:rsidRPr="000E3733">
              <w:rPr>
                <w:rFonts w:ascii="Arial" w:hAnsi="Arial" w:cs="Arial"/>
                <w:color w:val="000000"/>
                <w:sz w:val="20"/>
                <w:szCs w:val="20"/>
              </w:rPr>
              <w:t>1454.2</w:t>
            </w:r>
          </w:p>
        </w:tc>
        <w:tc>
          <w:tcPr>
            <w:tcW w:w="1696" w:type="dxa"/>
            <w:shd w:val="clear" w:color="auto" w:fill="BFBFBF"/>
            <w:vAlign w:val="bottom"/>
          </w:tcPr>
          <w:p w:rsidR="00341C13" w:rsidRPr="000E3733" w:rsidRDefault="00341C13" w:rsidP="000E3733">
            <w:pPr>
              <w:spacing w:after="0" w:line="300" w:lineRule="exact"/>
              <w:jc w:val="right"/>
              <w:rPr>
                <w:rFonts w:ascii="Arial" w:hAnsi="Arial" w:cs="Arial"/>
                <w:color w:val="000000"/>
                <w:sz w:val="20"/>
                <w:szCs w:val="20"/>
              </w:rPr>
            </w:pPr>
            <w:r w:rsidRPr="000E3733">
              <w:rPr>
                <w:rFonts w:ascii="Arial" w:hAnsi="Arial" w:cs="Arial"/>
                <w:color w:val="000000"/>
                <w:sz w:val="20"/>
                <w:szCs w:val="20"/>
              </w:rPr>
              <w:t>1009.0</w:t>
            </w:r>
          </w:p>
        </w:tc>
        <w:tc>
          <w:tcPr>
            <w:tcW w:w="1749" w:type="dxa"/>
            <w:vAlign w:val="bottom"/>
          </w:tcPr>
          <w:p w:rsidR="00341C13" w:rsidRPr="000E3733" w:rsidRDefault="00341C13" w:rsidP="000E3733">
            <w:pPr>
              <w:spacing w:after="0" w:line="300" w:lineRule="exact"/>
              <w:jc w:val="right"/>
              <w:rPr>
                <w:rFonts w:ascii="Arial" w:hAnsi="Arial" w:cs="Arial"/>
                <w:color w:val="000000"/>
                <w:sz w:val="20"/>
                <w:szCs w:val="20"/>
              </w:rPr>
            </w:pPr>
            <w:r w:rsidRPr="000E3733">
              <w:rPr>
                <w:rFonts w:ascii="Arial" w:hAnsi="Arial" w:cs="Arial"/>
                <w:color w:val="000000"/>
                <w:sz w:val="20"/>
                <w:szCs w:val="20"/>
              </w:rPr>
              <w:t xml:space="preserve">169.4 </w:t>
            </w:r>
          </w:p>
        </w:tc>
      </w:tr>
      <w:tr w:rsidR="00341C13" w:rsidRPr="000E3733" w:rsidTr="00295B2B">
        <w:tc>
          <w:tcPr>
            <w:tcW w:w="1460" w:type="dxa"/>
            <w:vAlign w:val="bottom"/>
          </w:tcPr>
          <w:p w:rsidR="00341C13" w:rsidRPr="000E3733" w:rsidRDefault="00341C13" w:rsidP="000E3733">
            <w:pPr>
              <w:spacing w:after="0" w:line="300" w:lineRule="exact"/>
              <w:jc w:val="right"/>
              <w:rPr>
                <w:rFonts w:ascii="Arial" w:hAnsi="Arial" w:cs="Arial"/>
                <w:b/>
                <w:color w:val="000000"/>
                <w:sz w:val="20"/>
                <w:szCs w:val="20"/>
              </w:rPr>
            </w:pPr>
            <w:r w:rsidRPr="000E3733">
              <w:rPr>
                <w:rFonts w:ascii="Arial" w:hAnsi="Arial" w:cs="Arial"/>
                <w:b/>
                <w:color w:val="000000"/>
                <w:sz w:val="20"/>
                <w:szCs w:val="20"/>
              </w:rPr>
              <w:t>2005-2017 gerundet</w:t>
            </w:r>
          </w:p>
        </w:tc>
        <w:tc>
          <w:tcPr>
            <w:tcW w:w="2122" w:type="dxa"/>
            <w:shd w:val="clear" w:color="auto" w:fill="BFBFBF"/>
            <w:vAlign w:val="center"/>
          </w:tcPr>
          <w:p w:rsidR="00341C13" w:rsidRPr="000E3733" w:rsidRDefault="00341C13" w:rsidP="000E3733">
            <w:pPr>
              <w:spacing w:after="0" w:line="300" w:lineRule="exact"/>
              <w:jc w:val="right"/>
              <w:rPr>
                <w:rFonts w:ascii="Arial" w:hAnsi="Arial" w:cs="Arial"/>
                <w:b/>
                <w:bCs/>
                <w:color w:val="000000"/>
                <w:sz w:val="20"/>
                <w:szCs w:val="20"/>
              </w:rPr>
            </w:pPr>
            <w:r w:rsidRPr="000E3733">
              <w:rPr>
                <w:rFonts w:ascii="Arial" w:hAnsi="Arial" w:cs="Arial"/>
                <w:b/>
                <w:bCs/>
                <w:color w:val="000000"/>
                <w:sz w:val="20"/>
                <w:szCs w:val="20"/>
              </w:rPr>
              <w:t>35‘956.5</w:t>
            </w:r>
          </w:p>
        </w:tc>
        <w:tc>
          <w:tcPr>
            <w:tcW w:w="2261" w:type="dxa"/>
            <w:vAlign w:val="center"/>
          </w:tcPr>
          <w:p w:rsidR="00341C13" w:rsidRPr="000E3733" w:rsidRDefault="00341C13" w:rsidP="000E3733">
            <w:pPr>
              <w:spacing w:after="0" w:line="300" w:lineRule="exact"/>
              <w:jc w:val="right"/>
              <w:rPr>
                <w:rFonts w:ascii="Arial" w:hAnsi="Arial" w:cs="Arial"/>
                <w:b/>
                <w:bCs/>
                <w:color w:val="000000"/>
                <w:sz w:val="20"/>
                <w:szCs w:val="20"/>
              </w:rPr>
            </w:pPr>
            <w:r w:rsidRPr="000E3733">
              <w:rPr>
                <w:rFonts w:ascii="Arial" w:hAnsi="Arial" w:cs="Arial"/>
                <w:b/>
                <w:bCs/>
                <w:color w:val="000000"/>
                <w:sz w:val="20"/>
                <w:szCs w:val="20"/>
              </w:rPr>
              <w:t>19‘053.5</w:t>
            </w:r>
          </w:p>
        </w:tc>
        <w:tc>
          <w:tcPr>
            <w:tcW w:w="1696" w:type="dxa"/>
            <w:shd w:val="clear" w:color="auto" w:fill="BFBFBF"/>
            <w:vAlign w:val="center"/>
          </w:tcPr>
          <w:p w:rsidR="00341C13" w:rsidRPr="004C487A" w:rsidRDefault="00341C13" w:rsidP="000E3733">
            <w:pPr>
              <w:spacing w:after="0" w:line="300" w:lineRule="exact"/>
              <w:jc w:val="right"/>
              <w:rPr>
                <w:rFonts w:ascii="Arial" w:hAnsi="Arial" w:cs="Arial"/>
                <w:b/>
                <w:bCs/>
                <w:sz w:val="20"/>
                <w:szCs w:val="20"/>
              </w:rPr>
            </w:pPr>
            <w:r w:rsidRPr="004C487A">
              <w:rPr>
                <w:rFonts w:ascii="Arial" w:hAnsi="Arial" w:cs="Arial"/>
                <w:b/>
                <w:bCs/>
                <w:sz w:val="20"/>
                <w:szCs w:val="20"/>
              </w:rPr>
              <w:t>16‘903</w:t>
            </w:r>
          </w:p>
        </w:tc>
        <w:tc>
          <w:tcPr>
            <w:tcW w:w="1749" w:type="dxa"/>
            <w:vAlign w:val="center"/>
          </w:tcPr>
          <w:p w:rsidR="00341C13" w:rsidRPr="004C487A" w:rsidRDefault="00341C13" w:rsidP="000E3733">
            <w:pPr>
              <w:spacing w:after="0" w:line="300" w:lineRule="exact"/>
              <w:jc w:val="right"/>
              <w:rPr>
                <w:rFonts w:ascii="Arial" w:hAnsi="Arial" w:cs="Arial"/>
                <w:b/>
                <w:bCs/>
                <w:sz w:val="20"/>
                <w:szCs w:val="20"/>
              </w:rPr>
            </w:pPr>
            <w:r w:rsidRPr="004C487A">
              <w:rPr>
                <w:rFonts w:ascii="Arial" w:hAnsi="Arial" w:cs="Arial"/>
                <w:b/>
                <w:bCs/>
                <w:sz w:val="20"/>
                <w:szCs w:val="20"/>
              </w:rPr>
              <w:t>188.7</w:t>
            </w:r>
          </w:p>
        </w:tc>
      </w:tr>
    </w:tbl>
    <w:p w:rsidR="00341C13" w:rsidRPr="000E3733" w:rsidRDefault="00633D9B" w:rsidP="000E3733">
      <w:pPr>
        <w:spacing w:after="0" w:line="300" w:lineRule="exact"/>
        <w:rPr>
          <w:rFonts w:ascii="Arial" w:hAnsi="Arial" w:cs="Arial"/>
          <w:sz w:val="20"/>
          <w:szCs w:val="20"/>
        </w:rPr>
      </w:pPr>
      <w:r w:rsidRPr="000E3733">
        <w:rPr>
          <w:rFonts w:ascii="Arial" w:hAnsi="Arial" w:cs="Arial"/>
          <w:sz w:val="20"/>
          <w:szCs w:val="20"/>
        </w:rPr>
        <w:t xml:space="preserve">Quelle: </w:t>
      </w:r>
      <w:proofErr w:type="spellStart"/>
      <w:r w:rsidRPr="000E3733">
        <w:rPr>
          <w:rFonts w:ascii="Arial" w:hAnsi="Arial" w:cs="Arial"/>
          <w:sz w:val="20"/>
          <w:szCs w:val="20"/>
        </w:rPr>
        <w:t>Finma</w:t>
      </w:r>
      <w:proofErr w:type="spellEnd"/>
    </w:p>
    <w:p w:rsidR="00551ACF" w:rsidRDefault="00551ACF" w:rsidP="000E3733">
      <w:pPr>
        <w:spacing w:after="0" w:line="300" w:lineRule="exact"/>
        <w:rPr>
          <w:rFonts w:ascii="Arial" w:hAnsi="Arial" w:cs="Arial"/>
          <w:b/>
          <w:sz w:val="20"/>
          <w:szCs w:val="20"/>
        </w:rPr>
      </w:pPr>
    </w:p>
    <w:p w:rsidR="000E3733" w:rsidRPr="000E3733" w:rsidRDefault="000E3733" w:rsidP="000E3733">
      <w:pPr>
        <w:spacing w:after="0" w:line="300" w:lineRule="exact"/>
        <w:rPr>
          <w:rFonts w:ascii="Arial" w:hAnsi="Arial" w:cs="Arial"/>
          <w:b/>
          <w:sz w:val="20"/>
          <w:szCs w:val="20"/>
        </w:rPr>
      </w:pPr>
    </w:p>
    <w:p w:rsidR="00341C13" w:rsidRDefault="0026067F" w:rsidP="000E3733">
      <w:pPr>
        <w:spacing w:after="0" w:line="300" w:lineRule="exact"/>
        <w:rPr>
          <w:rFonts w:ascii="Arial" w:hAnsi="Arial" w:cs="Arial"/>
          <w:b/>
          <w:sz w:val="20"/>
          <w:szCs w:val="20"/>
        </w:rPr>
      </w:pPr>
      <w:r w:rsidRPr="000E3733">
        <w:rPr>
          <w:rFonts w:ascii="Arial" w:hAnsi="Arial" w:cs="Arial"/>
          <w:b/>
          <w:sz w:val="20"/>
          <w:szCs w:val="20"/>
        </w:rPr>
        <w:t>Unterirdische Verzinsung der Altersguthaben</w:t>
      </w:r>
      <w:bookmarkStart w:id="0" w:name="_GoBack"/>
      <w:bookmarkEnd w:id="0"/>
    </w:p>
    <w:p w:rsidR="000E3733" w:rsidRPr="000E3733" w:rsidRDefault="000E3733" w:rsidP="000E3733">
      <w:pPr>
        <w:spacing w:after="0" w:line="300" w:lineRule="exact"/>
        <w:rPr>
          <w:rFonts w:ascii="Arial" w:hAnsi="Arial" w:cs="Arial"/>
          <w:b/>
          <w:sz w:val="20"/>
          <w:szCs w:val="20"/>
        </w:rPr>
      </w:pPr>
    </w:p>
    <w:p w:rsidR="00341C13" w:rsidRDefault="0026067F" w:rsidP="000E3733">
      <w:pPr>
        <w:spacing w:after="0" w:line="300" w:lineRule="exact"/>
        <w:rPr>
          <w:rFonts w:ascii="Arial" w:hAnsi="Arial" w:cs="Arial"/>
          <w:sz w:val="20"/>
          <w:szCs w:val="20"/>
        </w:rPr>
      </w:pPr>
      <w:r w:rsidRPr="000E3733">
        <w:rPr>
          <w:rFonts w:ascii="Arial" w:hAnsi="Arial" w:cs="Arial"/>
          <w:sz w:val="20"/>
          <w:szCs w:val="20"/>
        </w:rPr>
        <w:t xml:space="preserve">Das System der beruflichen Vorsorge lebt vom „dritten Beitragszahler“, also den mit Anlagen erwirtschafteten und den Versicherten in Form von Zinsen gutgeschriebenen Erträgen. Der BVG-Mindestzins legt diesbezüglich </w:t>
      </w:r>
      <w:r w:rsidR="00545DD2" w:rsidRPr="000E3733">
        <w:rPr>
          <w:rFonts w:ascii="Arial" w:hAnsi="Arial" w:cs="Arial"/>
          <w:sz w:val="20"/>
          <w:szCs w:val="20"/>
        </w:rPr>
        <w:t xml:space="preserve">ein Minimum </w:t>
      </w:r>
      <w:r w:rsidRPr="000E3733">
        <w:rPr>
          <w:rFonts w:ascii="Arial" w:hAnsi="Arial" w:cs="Arial"/>
          <w:sz w:val="20"/>
          <w:szCs w:val="20"/>
        </w:rPr>
        <w:t xml:space="preserve">für das </w:t>
      </w:r>
      <w:proofErr w:type="spellStart"/>
      <w:r w:rsidRPr="000E3733">
        <w:rPr>
          <w:rFonts w:ascii="Arial" w:hAnsi="Arial" w:cs="Arial"/>
          <w:sz w:val="20"/>
          <w:szCs w:val="20"/>
        </w:rPr>
        <w:t>Obligatorium</w:t>
      </w:r>
      <w:proofErr w:type="spellEnd"/>
      <w:r w:rsidRPr="000E3733">
        <w:rPr>
          <w:rFonts w:ascii="Arial" w:hAnsi="Arial" w:cs="Arial"/>
          <w:sz w:val="20"/>
          <w:szCs w:val="20"/>
        </w:rPr>
        <w:t xml:space="preserve"> fest. </w:t>
      </w:r>
      <w:r w:rsidR="00633D9B" w:rsidRPr="000E3733">
        <w:rPr>
          <w:rFonts w:ascii="Arial" w:hAnsi="Arial" w:cs="Arial"/>
          <w:sz w:val="20"/>
          <w:szCs w:val="20"/>
        </w:rPr>
        <w:t>Je mehr Zins die Lebensversicherer ihren Versicherten gutschreiben müssen, desto weniger bleibt für die Gewinne. Kein Wunder möchten die Lebensversicherer den Mindestzins am liebsten abschaffen und drängen jeweils auf eine</w:t>
      </w:r>
      <w:r w:rsidR="00545DD2">
        <w:rPr>
          <w:rFonts w:ascii="Arial" w:hAnsi="Arial" w:cs="Arial"/>
          <w:sz w:val="20"/>
          <w:szCs w:val="20"/>
        </w:rPr>
        <w:t>n möglichst tiefen Mindestzins.</w:t>
      </w:r>
      <w:r w:rsidR="00633D9B" w:rsidRPr="000E3733">
        <w:rPr>
          <w:rStyle w:val="Funotenzeichen"/>
          <w:rFonts w:ascii="Arial" w:hAnsi="Arial" w:cs="Arial"/>
          <w:sz w:val="20"/>
          <w:szCs w:val="20"/>
        </w:rPr>
        <w:footnoteReference w:id="2"/>
      </w:r>
      <w:r w:rsidR="00633D9B" w:rsidRPr="000E3733">
        <w:rPr>
          <w:rFonts w:ascii="Arial" w:hAnsi="Arial" w:cs="Arial"/>
          <w:sz w:val="20"/>
          <w:szCs w:val="20"/>
        </w:rPr>
        <w:t xml:space="preserve"> 2017 war ein sehr gutes Anlagejahr. Deshalb gewährten viele Pensionskassen ihren Versicherten eine höhere Verzinsung als </w:t>
      </w:r>
      <w:r w:rsidR="00545DD2" w:rsidRPr="000E3733">
        <w:rPr>
          <w:rFonts w:ascii="Arial" w:hAnsi="Arial" w:cs="Arial"/>
          <w:sz w:val="20"/>
          <w:szCs w:val="20"/>
        </w:rPr>
        <w:t>das vorgeschriebene 1 Prozent</w:t>
      </w:r>
      <w:r w:rsidR="00633D9B" w:rsidRPr="000E3733">
        <w:rPr>
          <w:rFonts w:ascii="Arial" w:hAnsi="Arial" w:cs="Arial"/>
          <w:sz w:val="20"/>
          <w:szCs w:val="20"/>
        </w:rPr>
        <w:t xml:space="preserve">. Nicht so jedoch die Versicherer. Sie gewähren nur das absolute Minimum. Im </w:t>
      </w:r>
      <w:proofErr w:type="spellStart"/>
      <w:r w:rsidR="00633D9B" w:rsidRPr="000E3733">
        <w:rPr>
          <w:rFonts w:ascii="Arial" w:hAnsi="Arial" w:cs="Arial"/>
          <w:sz w:val="20"/>
          <w:szCs w:val="20"/>
        </w:rPr>
        <w:t>Überobligatorium</w:t>
      </w:r>
      <w:proofErr w:type="spellEnd"/>
      <w:r w:rsidR="00633D9B" w:rsidRPr="000E3733">
        <w:rPr>
          <w:rFonts w:ascii="Arial" w:hAnsi="Arial" w:cs="Arial"/>
          <w:sz w:val="20"/>
          <w:szCs w:val="20"/>
        </w:rPr>
        <w:t xml:space="preserve">, wo die Versicherer in der Zinsfestlegung frei sind, zeigt sich </w:t>
      </w:r>
      <w:r w:rsidR="00545DD2" w:rsidRPr="000E3733">
        <w:rPr>
          <w:rFonts w:ascii="Arial" w:hAnsi="Arial" w:cs="Arial"/>
          <w:sz w:val="20"/>
          <w:szCs w:val="20"/>
        </w:rPr>
        <w:t xml:space="preserve">ein </w:t>
      </w:r>
      <w:r w:rsidR="00633D9B" w:rsidRPr="000E3733">
        <w:rPr>
          <w:rFonts w:ascii="Arial" w:hAnsi="Arial" w:cs="Arial"/>
          <w:sz w:val="20"/>
          <w:szCs w:val="20"/>
        </w:rPr>
        <w:t xml:space="preserve">noch drastischeres Bild: Die volumengewichtete Verzinsung betrug gerade mal 0.22 Prozent! Hier kann nicht mehr von einem dritten Beitragszahler gesprochen werden. </w:t>
      </w:r>
      <w:r w:rsidR="00AC49EB" w:rsidRPr="000E3733">
        <w:rPr>
          <w:rFonts w:ascii="Arial" w:hAnsi="Arial" w:cs="Arial"/>
          <w:sz w:val="20"/>
          <w:szCs w:val="20"/>
        </w:rPr>
        <w:t xml:space="preserve">Zum einen ist dies dem Gewinnstreben der Versicherer geschuldet. Zum anderen werden die Renditeaussichten bei den Vollversicherern aufgrund ihrer </w:t>
      </w:r>
      <w:proofErr w:type="spellStart"/>
      <w:r w:rsidR="00AC49EB" w:rsidRPr="000E3733">
        <w:rPr>
          <w:rFonts w:ascii="Arial" w:hAnsi="Arial" w:cs="Arial"/>
          <w:sz w:val="20"/>
          <w:szCs w:val="20"/>
        </w:rPr>
        <w:t>obligationenlastigen</w:t>
      </w:r>
      <w:proofErr w:type="spellEnd"/>
      <w:r w:rsidR="00AC49EB" w:rsidRPr="000E3733">
        <w:rPr>
          <w:rFonts w:ascii="Arial" w:hAnsi="Arial" w:cs="Arial"/>
          <w:sz w:val="20"/>
          <w:szCs w:val="20"/>
        </w:rPr>
        <w:t xml:space="preserve"> Anlagestruktur in den nächsten Jahren deutlich schlechter eingeschätzt als diejenigen von anderen Pensionskassen. Das lässt darauf schliessen, dass das System der Vollversicherung zu wenig leistungsfähig ist</w:t>
      </w:r>
      <w:r w:rsidR="00545DD2">
        <w:rPr>
          <w:rFonts w:ascii="Arial" w:hAnsi="Arial" w:cs="Arial"/>
          <w:sz w:val="20"/>
          <w:szCs w:val="20"/>
        </w:rPr>
        <w:t>,</w:t>
      </w:r>
      <w:r w:rsidR="00AC49EB" w:rsidRPr="000E3733">
        <w:rPr>
          <w:rFonts w:ascii="Arial" w:hAnsi="Arial" w:cs="Arial"/>
          <w:sz w:val="20"/>
          <w:szCs w:val="20"/>
        </w:rPr>
        <w:t xml:space="preserve"> um für die </w:t>
      </w:r>
      <w:proofErr w:type="spellStart"/>
      <w:r w:rsidR="00AC49EB" w:rsidRPr="000E3733">
        <w:rPr>
          <w:rFonts w:ascii="Arial" w:hAnsi="Arial" w:cs="Arial"/>
          <w:sz w:val="20"/>
          <w:szCs w:val="20"/>
        </w:rPr>
        <w:t>Arbeitnehmenden</w:t>
      </w:r>
      <w:proofErr w:type="spellEnd"/>
      <w:r w:rsidR="00AC49EB" w:rsidRPr="000E3733">
        <w:rPr>
          <w:rFonts w:ascii="Arial" w:hAnsi="Arial" w:cs="Arial"/>
          <w:sz w:val="20"/>
          <w:szCs w:val="20"/>
        </w:rPr>
        <w:t xml:space="preserve"> eine anständige Verzinsung zu gewährleisten. </w:t>
      </w:r>
    </w:p>
    <w:p w:rsidR="000E3733" w:rsidRPr="000E3733" w:rsidRDefault="000E3733" w:rsidP="000E3733">
      <w:pPr>
        <w:spacing w:after="0" w:line="300" w:lineRule="exact"/>
        <w:rPr>
          <w:rFonts w:ascii="Arial" w:hAnsi="Arial" w:cs="Arial"/>
          <w:sz w:val="20"/>
          <w:szCs w:val="20"/>
        </w:rPr>
      </w:pPr>
    </w:p>
    <w:p w:rsidR="00AC49EB" w:rsidRDefault="00AC49EB" w:rsidP="000E3733">
      <w:pPr>
        <w:spacing w:after="0" w:line="300" w:lineRule="exact"/>
        <w:rPr>
          <w:rFonts w:ascii="Arial" w:hAnsi="Arial" w:cs="Arial"/>
          <w:sz w:val="20"/>
          <w:szCs w:val="20"/>
        </w:rPr>
      </w:pPr>
      <w:r w:rsidRPr="000E3733">
        <w:rPr>
          <w:rFonts w:ascii="Arial" w:hAnsi="Arial" w:cs="Arial"/>
          <w:sz w:val="20"/>
          <w:szCs w:val="20"/>
        </w:rPr>
        <w:lastRenderedPageBreak/>
        <w:t xml:space="preserve">Insgesamt muss deutsch und deutlich konstatiert werden: Die Vollversicherung ist ein Modell mit einem schlechten Preis-Leistungs-Verhältnis für die </w:t>
      </w:r>
      <w:proofErr w:type="spellStart"/>
      <w:r w:rsidRPr="000E3733">
        <w:rPr>
          <w:rFonts w:ascii="Arial" w:hAnsi="Arial" w:cs="Arial"/>
          <w:sz w:val="20"/>
          <w:szCs w:val="20"/>
        </w:rPr>
        <w:t>Arbeitnehmenden</w:t>
      </w:r>
      <w:proofErr w:type="spellEnd"/>
      <w:r w:rsidRPr="000E3733">
        <w:rPr>
          <w:rFonts w:ascii="Arial" w:hAnsi="Arial" w:cs="Arial"/>
          <w:sz w:val="20"/>
          <w:szCs w:val="20"/>
        </w:rPr>
        <w:t>.</w:t>
      </w:r>
    </w:p>
    <w:p w:rsidR="000E3733" w:rsidRDefault="000E3733" w:rsidP="000E3733">
      <w:pPr>
        <w:spacing w:after="0" w:line="300" w:lineRule="exact"/>
        <w:rPr>
          <w:rFonts w:ascii="Arial" w:hAnsi="Arial" w:cs="Arial"/>
          <w:sz w:val="20"/>
          <w:szCs w:val="20"/>
        </w:rPr>
      </w:pPr>
    </w:p>
    <w:p w:rsidR="000E3733" w:rsidRPr="000E3733" w:rsidRDefault="000E3733" w:rsidP="000E3733">
      <w:pPr>
        <w:spacing w:after="0" w:line="300" w:lineRule="exact"/>
        <w:rPr>
          <w:rFonts w:ascii="Arial" w:hAnsi="Arial" w:cs="Arial"/>
          <w:sz w:val="20"/>
          <w:szCs w:val="20"/>
        </w:rPr>
      </w:pPr>
    </w:p>
    <w:p w:rsidR="0026067F" w:rsidRDefault="00AC49EB" w:rsidP="000E3733">
      <w:pPr>
        <w:spacing w:after="0" w:line="300" w:lineRule="exact"/>
        <w:rPr>
          <w:rFonts w:ascii="Arial" w:hAnsi="Arial" w:cs="Arial"/>
          <w:b/>
          <w:sz w:val="20"/>
          <w:szCs w:val="20"/>
        </w:rPr>
      </w:pPr>
      <w:r w:rsidRPr="000E3733">
        <w:rPr>
          <w:rFonts w:ascii="Arial" w:hAnsi="Arial" w:cs="Arial"/>
          <w:b/>
          <w:sz w:val="20"/>
          <w:szCs w:val="20"/>
        </w:rPr>
        <w:t>Umbruch im System</w:t>
      </w:r>
    </w:p>
    <w:p w:rsidR="000E3733" w:rsidRPr="000E3733" w:rsidRDefault="000E3733" w:rsidP="000E3733">
      <w:pPr>
        <w:spacing w:after="0" w:line="300" w:lineRule="exact"/>
        <w:rPr>
          <w:rFonts w:ascii="Arial" w:hAnsi="Arial" w:cs="Arial"/>
          <w:b/>
          <w:sz w:val="20"/>
          <w:szCs w:val="20"/>
        </w:rPr>
      </w:pPr>
    </w:p>
    <w:p w:rsidR="00E066DC" w:rsidRPr="000E3733" w:rsidRDefault="0075545D" w:rsidP="000E3733">
      <w:pPr>
        <w:spacing w:after="0" w:line="300" w:lineRule="exact"/>
        <w:rPr>
          <w:rFonts w:ascii="Arial" w:hAnsi="Arial" w:cs="Arial"/>
          <w:sz w:val="20"/>
          <w:szCs w:val="20"/>
        </w:rPr>
      </w:pPr>
      <w:r w:rsidRPr="000E3733">
        <w:rPr>
          <w:rFonts w:ascii="Arial" w:hAnsi="Arial" w:cs="Arial"/>
          <w:sz w:val="20"/>
          <w:szCs w:val="20"/>
        </w:rPr>
        <w:t>Die Branche ist im Umbruch. Dieses Jahr hat die Axa angekündigt</w:t>
      </w:r>
      <w:r w:rsidR="00545DD2">
        <w:rPr>
          <w:rFonts w:ascii="Arial" w:hAnsi="Arial" w:cs="Arial"/>
          <w:sz w:val="20"/>
          <w:szCs w:val="20"/>
        </w:rPr>
        <w:t>,</w:t>
      </w:r>
      <w:r w:rsidRPr="000E3733">
        <w:rPr>
          <w:rFonts w:ascii="Arial" w:hAnsi="Arial" w:cs="Arial"/>
          <w:sz w:val="20"/>
          <w:szCs w:val="20"/>
        </w:rPr>
        <w:t xml:space="preserve"> aus der Vollversicherung auszusteigen. Sie will künftig nur noch ei</w:t>
      </w:r>
      <w:r w:rsidR="00AC49EB" w:rsidRPr="000E3733">
        <w:rPr>
          <w:rFonts w:ascii="Arial" w:hAnsi="Arial" w:cs="Arial"/>
          <w:sz w:val="20"/>
          <w:szCs w:val="20"/>
        </w:rPr>
        <w:t>n teilautonomes Modell anbieten und verspricht den Versicherten bessere Leistungen.</w:t>
      </w:r>
      <w:r w:rsidRPr="000E3733">
        <w:rPr>
          <w:rFonts w:ascii="Arial" w:hAnsi="Arial" w:cs="Arial"/>
          <w:sz w:val="20"/>
          <w:szCs w:val="20"/>
        </w:rPr>
        <w:t xml:space="preserve"> </w:t>
      </w:r>
      <w:r w:rsidR="00F84661" w:rsidRPr="000E3733">
        <w:rPr>
          <w:rFonts w:ascii="Arial" w:hAnsi="Arial" w:cs="Arial"/>
          <w:sz w:val="20"/>
          <w:szCs w:val="20"/>
        </w:rPr>
        <w:t xml:space="preserve">Andere könnten folgen. </w:t>
      </w:r>
      <w:r w:rsidR="00AC49EB" w:rsidRPr="000E3733">
        <w:rPr>
          <w:rFonts w:ascii="Arial" w:hAnsi="Arial" w:cs="Arial"/>
          <w:sz w:val="20"/>
          <w:szCs w:val="20"/>
        </w:rPr>
        <w:t xml:space="preserve">Dies bestätigt </w:t>
      </w:r>
      <w:r w:rsidR="00545DD2">
        <w:rPr>
          <w:rFonts w:ascii="Arial" w:hAnsi="Arial" w:cs="Arial"/>
          <w:sz w:val="20"/>
          <w:szCs w:val="20"/>
        </w:rPr>
        <w:t>die</w:t>
      </w:r>
      <w:r w:rsidR="00AC49EB" w:rsidRPr="000E3733">
        <w:rPr>
          <w:rFonts w:ascii="Arial" w:hAnsi="Arial" w:cs="Arial"/>
          <w:sz w:val="20"/>
          <w:szCs w:val="20"/>
        </w:rPr>
        <w:t xml:space="preserve"> Kritik am Vollversicherungsmodel</w:t>
      </w:r>
      <w:r w:rsidR="00545DD2">
        <w:rPr>
          <w:rFonts w:ascii="Arial" w:hAnsi="Arial" w:cs="Arial"/>
          <w:sz w:val="20"/>
          <w:szCs w:val="20"/>
        </w:rPr>
        <w:t xml:space="preserve"> und </w:t>
      </w:r>
      <w:r w:rsidR="00AC49EB" w:rsidRPr="000E3733">
        <w:rPr>
          <w:rFonts w:ascii="Arial" w:hAnsi="Arial" w:cs="Arial"/>
          <w:sz w:val="20"/>
          <w:szCs w:val="20"/>
        </w:rPr>
        <w:t>eröffnet Chancen. Wenn immer mehr Versicherer in direkte Konkurrenz zu nicht gewinnorientierten autonomen Sammelstiftungen treten, müssen aber auch verstärkt Vorkehrungen für einen fairen Wettbewerb getroffen werden. Stichworte dazu sind marktkonforme Verträge zwischen den in die Teilautonomie entlassenen Sammelstiftungen und den Versicherungsgesellschaften</w:t>
      </w:r>
      <w:r w:rsidR="000A7390" w:rsidRPr="000E3733">
        <w:rPr>
          <w:rFonts w:ascii="Arial" w:hAnsi="Arial" w:cs="Arial"/>
          <w:sz w:val="20"/>
          <w:szCs w:val="20"/>
        </w:rPr>
        <w:t xml:space="preserve">, ein Verbot von Brokerentschädigungen und Massnahmen gegen die Risikoselektion. Gleichzeitig verbleibt mit Swiss Life ein grosser Anbieter im Vollversicherungsgeschäft. Dieser hat nun eine quasi-Monopolstellung. Es braucht deshalb zum Schutz der Versicherten auch unter den neuen Voraussetzungen bessere Gewinn- und Prämienbeschränkungen bei den Versicherern. </w:t>
      </w:r>
      <w:r w:rsidR="00295546" w:rsidRPr="000E3733">
        <w:rPr>
          <w:rFonts w:ascii="Arial" w:hAnsi="Arial" w:cs="Arial"/>
          <w:sz w:val="20"/>
          <w:szCs w:val="20"/>
        </w:rPr>
        <w:t>Es führt kein Weg daran vorbei, dass mehr Geld bei den Versicherten und weniger bei der Versicherungsindustrie bleibt. Dabei geht es nicht nur um Geld, sondern auch um die Glaubwürdigkeit des Systems berufliche Vorsorge.</w:t>
      </w:r>
    </w:p>
    <w:p w:rsidR="004376E8" w:rsidRDefault="004376E8" w:rsidP="000E3733">
      <w:pPr>
        <w:spacing w:after="0" w:line="300" w:lineRule="exact"/>
        <w:rPr>
          <w:rFonts w:ascii="Arial" w:hAnsi="Arial" w:cs="Arial"/>
          <w:sz w:val="20"/>
          <w:szCs w:val="20"/>
        </w:rPr>
      </w:pPr>
    </w:p>
    <w:p w:rsidR="000E3733" w:rsidRDefault="000E3733" w:rsidP="000E3733">
      <w:pPr>
        <w:spacing w:after="0" w:line="300" w:lineRule="exact"/>
        <w:rPr>
          <w:rFonts w:ascii="Arial" w:hAnsi="Arial" w:cs="Arial"/>
          <w:sz w:val="20"/>
          <w:szCs w:val="20"/>
        </w:rPr>
      </w:pPr>
    </w:p>
    <w:p w:rsidR="000E3733" w:rsidRDefault="000E3733" w:rsidP="000E3733">
      <w:pPr>
        <w:spacing w:after="0" w:line="300" w:lineRule="exact"/>
        <w:rPr>
          <w:rFonts w:ascii="Arial" w:hAnsi="Arial" w:cs="Arial"/>
          <w:sz w:val="20"/>
          <w:szCs w:val="20"/>
        </w:rPr>
      </w:pPr>
    </w:p>
    <w:p w:rsidR="000E3733" w:rsidRDefault="000E3733" w:rsidP="000E3733">
      <w:pPr>
        <w:spacing w:after="0" w:line="300" w:lineRule="exact"/>
        <w:rPr>
          <w:rFonts w:ascii="Arial" w:hAnsi="Arial" w:cs="Arial"/>
          <w:sz w:val="20"/>
          <w:szCs w:val="20"/>
        </w:rPr>
      </w:pPr>
    </w:p>
    <w:p w:rsidR="000E3733" w:rsidRDefault="000E3733" w:rsidP="000E3733">
      <w:pPr>
        <w:spacing w:after="0" w:line="300" w:lineRule="exact"/>
        <w:rPr>
          <w:rFonts w:ascii="Arial" w:hAnsi="Arial" w:cs="Arial"/>
          <w:sz w:val="20"/>
          <w:szCs w:val="20"/>
        </w:rPr>
      </w:pPr>
    </w:p>
    <w:p w:rsidR="000E3733" w:rsidRDefault="000E3733" w:rsidP="000E3733">
      <w:pPr>
        <w:spacing w:after="0" w:line="300" w:lineRule="exact"/>
        <w:rPr>
          <w:rFonts w:ascii="Arial" w:hAnsi="Arial" w:cs="Arial"/>
          <w:sz w:val="20"/>
          <w:szCs w:val="20"/>
        </w:rPr>
      </w:pPr>
    </w:p>
    <w:p w:rsidR="000E3733" w:rsidRDefault="000E3733" w:rsidP="000E3733">
      <w:pPr>
        <w:spacing w:after="0" w:line="300" w:lineRule="exact"/>
        <w:rPr>
          <w:rFonts w:ascii="Arial" w:hAnsi="Arial" w:cs="Arial"/>
          <w:sz w:val="20"/>
          <w:szCs w:val="20"/>
        </w:rPr>
      </w:pPr>
    </w:p>
    <w:p w:rsidR="000E3733" w:rsidRDefault="000E3733" w:rsidP="000E3733">
      <w:pPr>
        <w:spacing w:after="0" w:line="300" w:lineRule="exact"/>
        <w:rPr>
          <w:rFonts w:ascii="Arial" w:hAnsi="Arial" w:cs="Arial"/>
          <w:sz w:val="20"/>
          <w:szCs w:val="20"/>
        </w:rPr>
      </w:pPr>
    </w:p>
    <w:p w:rsidR="000E3733" w:rsidRDefault="000E3733" w:rsidP="000E3733">
      <w:pPr>
        <w:spacing w:after="0" w:line="300" w:lineRule="exact"/>
        <w:rPr>
          <w:rFonts w:ascii="Arial" w:hAnsi="Arial" w:cs="Arial"/>
          <w:sz w:val="20"/>
          <w:szCs w:val="20"/>
        </w:rPr>
      </w:pPr>
    </w:p>
    <w:p w:rsidR="000E3733" w:rsidRDefault="000E3733" w:rsidP="000E3733">
      <w:pPr>
        <w:spacing w:after="0" w:line="300" w:lineRule="exact"/>
        <w:rPr>
          <w:rFonts w:ascii="Arial" w:hAnsi="Arial" w:cs="Arial"/>
          <w:sz w:val="20"/>
          <w:szCs w:val="20"/>
        </w:rPr>
      </w:pPr>
    </w:p>
    <w:p w:rsidR="000E3733" w:rsidRDefault="000E3733" w:rsidP="000E3733">
      <w:pPr>
        <w:spacing w:after="0" w:line="300" w:lineRule="exact"/>
        <w:rPr>
          <w:rFonts w:ascii="Arial" w:hAnsi="Arial" w:cs="Arial"/>
          <w:sz w:val="20"/>
          <w:szCs w:val="20"/>
        </w:rPr>
      </w:pPr>
    </w:p>
    <w:p w:rsidR="000E3733" w:rsidRDefault="000E3733" w:rsidP="000E3733">
      <w:pPr>
        <w:spacing w:after="0" w:line="300" w:lineRule="exact"/>
        <w:rPr>
          <w:rFonts w:ascii="Arial" w:hAnsi="Arial" w:cs="Arial"/>
          <w:sz w:val="20"/>
          <w:szCs w:val="20"/>
        </w:rPr>
      </w:pPr>
    </w:p>
    <w:p w:rsidR="000E3733" w:rsidRDefault="000E3733" w:rsidP="000E3733">
      <w:pPr>
        <w:spacing w:after="0" w:line="300" w:lineRule="exact"/>
        <w:rPr>
          <w:rFonts w:ascii="Arial" w:hAnsi="Arial" w:cs="Arial"/>
          <w:sz w:val="20"/>
          <w:szCs w:val="20"/>
        </w:rPr>
      </w:pPr>
    </w:p>
    <w:p w:rsidR="000E3733" w:rsidRDefault="000E3733" w:rsidP="000E3733">
      <w:pPr>
        <w:spacing w:after="0" w:line="300" w:lineRule="exact"/>
        <w:rPr>
          <w:rFonts w:ascii="Arial" w:hAnsi="Arial" w:cs="Arial"/>
          <w:sz w:val="20"/>
          <w:szCs w:val="20"/>
        </w:rPr>
      </w:pPr>
    </w:p>
    <w:p w:rsidR="000E3733" w:rsidRDefault="000E3733" w:rsidP="000E3733">
      <w:pPr>
        <w:spacing w:after="0" w:line="300" w:lineRule="exact"/>
        <w:rPr>
          <w:rFonts w:ascii="Arial" w:hAnsi="Arial" w:cs="Arial"/>
          <w:sz w:val="20"/>
          <w:szCs w:val="20"/>
        </w:rPr>
      </w:pPr>
    </w:p>
    <w:p w:rsidR="000E3733" w:rsidRDefault="000E3733" w:rsidP="000E3733">
      <w:pPr>
        <w:spacing w:after="0" w:line="300" w:lineRule="exact"/>
        <w:rPr>
          <w:rFonts w:ascii="Arial" w:hAnsi="Arial" w:cs="Arial"/>
          <w:sz w:val="20"/>
          <w:szCs w:val="20"/>
        </w:rPr>
      </w:pPr>
    </w:p>
    <w:p w:rsidR="000E3733" w:rsidRDefault="000E3733" w:rsidP="000E3733">
      <w:pPr>
        <w:spacing w:after="0" w:line="300" w:lineRule="exact"/>
        <w:rPr>
          <w:rFonts w:ascii="Arial" w:hAnsi="Arial" w:cs="Arial"/>
          <w:sz w:val="20"/>
          <w:szCs w:val="20"/>
        </w:rPr>
      </w:pPr>
    </w:p>
    <w:p w:rsidR="000E3733" w:rsidRDefault="000E3733" w:rsidP="000E3733">
      <w:pPr>
        <w:spacing w:after="0" w:line="300" w:lineRule="exact"/>
        <w:rPr>
          <w:rFonts w:ascii="Arial" w:hAnsi="Arial" w:cs="Arial"/>
          <w:sz w:val="20"/>
          <w:szCs w:val="20"/>
        </w:rPr>
      </w:pPr>
    </w:p>
    <w:p w:rsidR="000E3733" w:rsidRDefault="000E3733" w:rsidP="000E3733">
      <w:pPr>
        <w:spacing w:after="0" w:line="300" w:lineRule="exact"/>
        <w:rPr>
          <w:rFonts w:ascii="Arial" w:hAnsi="Arial" w:cs="Arial"/>
          <w:sz w:val="20"/>
          <w:szCs w:val="20"/>
        </w:rPr>
      </w:pPr>
    </w:p>
    <w:p w:rsidR="000E3733" w:rsidRDefault="000E3733" w:rsidP="000E3733">
      <w:pPr>
        <w:spacing w:after="0" w:line="300" w:lineRule="exact"/>
        <w:rPr>
          <w:rFonts w:ascii="Arial" w:hAnsi="Arial" w:cs="Arial"/>
          <w:sz w:val="20"/>
          <w:szCs w:val="20"/>
        </w:rPr>
      </w:pPr>
    </w:p>
    <w:p w:rsidR="000E3733" w:rsidRDefault="000E3733" w:rsidP="000E3733">
      <w:pPr>
        <w:spacing w:after="0" w:line="300" w:lineRule="exact"/>
        <w:rPr>
          <w:rFonts w:ascii="Arial" w:hAnsi="Arial" w:cs="Arial"/>
          <w:sz w:val="20"/>
          <w:szCs w:val="20"/>
        </w:rPr>
      </w:pPr>
    </w:p>
    <w:p w:rsidR="000E3733" w:rsidRDefault="000E3733" w:rsidP="000E3733">
      <w:pPr>
        <w:spacing w:after="0" w:line="300" w:lineRule="exact"/>
        <w:rPr>
          <w:rFonts w:ascii="Arial" w:hAnsi="Arial" w:cs="Arial"/>
          <w:sz w:val="20"/>
          <w:szCs w:val="20"/>
        </w:rPr>
      </w:pPr>
    </w:p>
    <w:p w:rsidR="00545DD2" w:rsidRDefault="00545DD2" w:rsidP="000E3733">
      <w:pPr>
        <w:spacing w:after="0" w:line="300" w:lineRule="exact"/>
        <w:rPr>
          <w:rFonts w:ascii="Arial" w:hAnsi="Arial" w:cs="Arial"/>
          <w:sz w:val="20"/>
          <w:szCs w:val="20"/>
        </w:rPr>
      </w:pPr>
    </w:p>
    <w:p w:rsidR="000E3733" w:rsidRDefault="000E3733" w:rsidP="000E3733">
      <w:pPr>
        <w:spacing w:after="0" w:line="300" w:lineRule="exact"/>
        <w:rPr>
          <w:rFonts w:ascii="Arial" w:hAnsi="Arial" w:cs="Arial"/>
          <w:sz w:val="20"/>
          <w:szCs w:val="20"/>
        </w:rPr>
      </w:pPr>
    </w:p>
    <w:p w:rsidR="000E3733" w:rsidRDefault="000E3733" w:rsidP="000E3733">
      <w:pPr>
        <w:spacing w:after="0" w:line="300" w:lineRule="exact"/>
        <w:rPr>
          <w:rFonts w:ascii="Arial" w:hAnsi="Arial" w:cs="Arial"/>
          <w:sz w:val="20"/>
          <w:szCs w:val="20"/>
        </w:rPr>
      </w:pPr>
    </w:p>
    <w:p w:rsidR="000E3733" w:rsidRDefault="000E3733" w:rsidP="000E3733">
      <w:pPr>
        <w:spacing w:after="0" w:line="300" w:lineRule="exact"/>
        <w:rPr>
          <w:rFonts w:ascii="Arial" w:hAnsi="Arial" w:cs="Arial"/>
          <w:sz w:val="20"/>
          <w:szCs w:val="20"/>
        </w:rPr>
      </w:pPr>
    </w:p>
    <w:p w:rsidR="000E3733" w:rsidRPr="00A62C41" w:rsidRDefault="000E3733" w:rsidP="000E3733">
      <w:pPr>
        <w:spacing w:after="0" w:line="300" w:lineRule="exact"/>
        <w:jc w:val="center"/>
        <w:rPr>
          <w:rFonts w:ascii="Arial" w:hAnsi="Arial" w:cs="Arial"/>
          <w:sz w:val="20"/>
          <w:szCs w:val="20"/>
        </w:rPr>
      </w:pPr>
      <w:r w:rsidRPr="00A62C41">
        <w:rPr>
          <w:rFonts w:ascii="Arial" w:hAnsi="Arial" w:cs="Arial"/>
          <w:sz w:val="20"/>
          <w:szCs w:val="20"/>
        </w:rPr>
        <w:t>Travail.Suisse, Hopfenweg 21, 3001 Bern, Tel. 031 370 21 11, info@travailsuisse.ch,</w:t>
      </w:r>
    </w:p>
    <w:p w:rsidR="000E3733" w:rsidRPr="000E3733" w:rsidRDefault="004C487A" w:rsidP="000E3733">
      <w:pPr>
        <w:spacing w:after="0" w:line="300" w:lineRule="exact"/>
        <w:jc w:val="center"/>
        <w:rPr>
          <w:rFonts w:ascii="Arial" w:hAnsi="Arial" w:cs="Arial"/>
          <w:sz w:val="20"/>
          <w:szCs w:val="20"/>
        </w:rPr>
      </w:pPr>
      <w:hyperlink r:id="rId9" w:history="1">
        <w:r w:rsidR="000E3733" w:rsidRPr="00A62C41">
          <w:rPr>
            <w:rStyle w:val="Hyperlink"/>
            <w:rFonts w:ascii="Arial" w:hAnsi="Arial" w:cs="Arial"/>
            <w:sz w:val="20"/>
            <w:szCs w:val="20"/>
          </w:rPr>
          <w:t>www.travailsuisse.ch</w:t>
        </w:r>
      </w:hyperlink>
    </w:p>
    <w:sectPr w:rsidR="000E3733" w:rsidRPr="000E373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45D" w:rsidRDefault="0075545D" w:rsidP="0075545D">
      <w:pPr>
        <w:spacing w:after="0" w:line="240" w:lineRule="auto"/>
      </w:pPr>
      <w:r>
        <w:separator/>
      </w:r>
    </w:p>
  </w:endnote>
  <w:endnote w:type="continuationSeparator" w:id="0">
    <w:p w:rsidR="0075545D" w:rsidRDefault="0075545D" w:rsidP="00755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45D" w:rsidRDefault="0075545D" w:rsidP="0075545D">
      <w:pPr>
        <w:spacing w:after="0" w:line="240" w:lineRule="auto"/>
      </w:pPr>
      <w:r>
        <w:separator/>
      </w:r>
    </w:p>
  </w:footnote>
  <w:footnote w:type="continuationSeparator" w:id="0">
    <w:p w:rsidR="0075545D" w:rsidRDefault="0075545D" w:rsidP="0075545D">
      <w:pPr>
        <w:spacing w:after="0" w:line="240" w:lineRule="auto"/>
      </w:pPr>
      <w:r>
        <w:continuationSeparator/>
      </w:r>
    </w:p>
  </w:footnote>
  <w:footnote w:id="1">
    <w:p w:rsidR="0075545D" w:rsidRPr="000E3733" w:rsidRDefault="0075545D">
      <w:pPr>
        <w:pStyle w:val="Funotentext"/>
        <w:rPr>
          <w:rFonts w:ascii="Arial" w:hAnsi="Arial" w:cs="Arial"/>
          <w:sz w:val="16"/>
          <w:szCs w:val="16"/>
        </w:rPr>
      </w:pPr>
      <w:r w:rsidRPr="000E3733">
        <w:rPr>
          <w:rStyle w:val="Funotenzeichen"/>
          <w:rFonts w:ascii="Arial" w:hAnsi="Arial" w:cs="Arial"/>
          <w:sz w:val="16"/>
          <w:szCs w:val="16"/>
        </w:rPr>
        <w:footnoteRef/>
      </w:r>
      <w:r w:rsidRPr="000E3733">
        <w:rPr>
          <w:rFonts w:ascii="Arial" w:hAnsi="Arial" w:cs="Arial"/>
          <w:sz w:val="16"/>
          <w:szCs w:val="16"/>
        </w:rPr>
        <w:t xml:space="preserve"> </w:t>
      </w:r>
      <w:hyperlink r:id="rId1" w:history="1">
        <w:r w:rsidRPr="000E3733">
          <w:rPr>
            <w:rStyle w:val="Hyperlink"/>
            <w:rFonts w:ascii="Arial" w:hAnsi="Arial" w:cs="Arial"/>
            <w:sz w:val="16"/>
            <w:szCs w:val="16"/>
          </w:rPr>
          <w:t>https://www.finma.ch/de/news/2018/09/20180907-aktuell-transparenzbericht/</w:t>
        </w:r>
      </w:hyperlink>
      <w:r w:rsidRPr="000E3733">
        <w:rPr>
          <w:rFonts w:ascii="Arial" w:hAnsi="Arial" w:cs="Arial"/>
          <w:sz w:val="16"/>
          <w:szCs w:val="16"/>
        </w:rPr>
        <w:t xml:space="preserve"> </w:t>
      </w:r>
    </w:p>
  </w:footnote>
  <w:footnote w:id="2">
    <w:p w:rsidR="00633D9B" w:rsidRPr="000E3733" w:rsidRDefault="00633D9B">
      <w:pPr>
        <w:pStyle w:val="Funotentext"/>
        <w:rPr>
          <w:rFonts w:ascii="Arial" w:hAnsi="Arial" w:cs="Arial"/>
          <w:sz w:val="16"/>
          <w:szCs w:val="16"/>
        </w:rPr>
      </w:pPr>
      <w:r w:rsidRPr="000E3733">
        <w:rPr>
          <w:rStyle w:val="Funotenzeichen"/>
          <w:rFonts w:ascii="Arial" w:hAnsi="Arial" w:cs="Arial"/>
          <w:sz w:val="16"/>
          <w:szCs w:val="16"/>
        </w:rPr>
        <w:footnoteRef/>
      </w:r>
      <w:r w:rsidRPr="000E3733">
        <w:rPr>
          <w:rFonts w:ascii="Arial" w:hAnsi="Arial" w:cs="Arial"/>
          <w:sz w:val="16"/>
          <w:szCs w:val="16"/>
        </w:rPr>
        <w:t xml:space="preserve"> 2017 und 2018 lag/liegt der Mindestzinssatz bei 1 Prozent.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B94708"/>
    <w:multiLevelType w:val="hybridMultilevel"/>
    <w:tmpl w:val="7ECCCDE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5F8D6D49"/>
    <w:multiLevelType w:val="hybridMultilevel"/>
    <w:tmpl w:val="95928FC6"/>
    <w:lvl w:ilvl="0" w:tplc="86981868">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07A"/>
    <w:rsid w:val="00007EBA"/>
    <w:rsid w:val="00042BD3"/>
    <w:rsid w:val="000A7390"/>
    <w:rsid w:val="000E3733"/>
    <w:rsid w:val="001C1CB3"/>
    <w:rsid w:val="0026067F"/>
    <w:rsid w:val="00260D15"/>
    <w:rsid w:val="00295546"/>
    <w:rsid w:val="00341C13"/>
    <w:rsid w:val="0041507A"/>
    <w:rsid w:val="004376E8"/>
    <w:rsid w:val="00451B40"/>
    <w:rsid w:val="004C487A"/>
    <w:rsid w:val="00545DD2"/>
    <w:rsid w:val="00551ACF"/>
    <w:rsid w:val="00633D9B"/>
    <w:rsid w:val="0075545D"/>
    <w:rsid w:val="008A5433"/>
    <w:rsid w:val="00AC49EB"/>
    <w:rsid w:val="00AE4B70"/>
    <w:rsid w:val="00C337F4"/>
    <w:rsid w:val="00CB58B3"/>
    <w:rsid w:val="00E066DC"/>
    <w:rsid w:val="00F8466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CF51B4-6B38-44E2-ACC6-B2D12C464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75545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5545D"/>
    <w:rPr>
      <w:sz w:val="20"/>
      <w:szCs w:val="20"/>
    </w:rPr>
  </w:style>
  <w:style w:type="character" w:styleId="Funotenzeichen">
    <w:name w:val="footnote reference"/>
    <w:basedOn w:val="Absatz-Standardschriftart"/>
    <w:uiPriority w:val="99"/>
    <w:semiHidden/>
    <w:unhideWhenUsed/>
    <w:rsid w:val="0075545D"/>
    <w:rPr>
      <w:vertAlign w:val="superscript"/>
    </w:rPr>
  </w:style>
  <w:style w:type="character" w:styleId="Hyperlink">
    <w:name w:val="Hyperlink"/>
    <w:basedOn w:val="Absatz-Standardschriftart"/>
    <w:uiPriority w:val="99"/>
    <w:unhideWhenUsed/>
    <w:rsid w:val="0075545D"/>
    <w:rPr>
      <w:color w:val="0563C1" w:themeColor="hyperlink"/>
      <w:u w:val="single"/>
    </w:rPr>
  </w:style>
  <w:style w:type="paragraph" w:styleId="Listenabsatz">
    <w:name w:val="List Paragraph"/>
    <w:basedOn w:val="Standard"/>
    <w:uiPriority w:val="34"/>
    <w:qFormat/>
    <w:rsid w:val="00F84661"/>
    <w:pPr>
      <w:ind w:left="720"/>
      <w:contextualSpacing/>
    </w:pPr>
  </w:style>
  <w:style w:type="paragraph" w:styleId="Sprechblasentext">
    <w:name w:val="Balloon Text"/>
    <w:basedOn w:val="Standard"/>
    <w:link w:val="SprechblasentextZchn"/>
    <w:uiPriority w:val="99"/>
    <w:semiHidden/>
    <w:unhideWhenUsed/>
    <w:rsid w:val="00551AC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51ACF"/>
    <w:rPr>
      <w:rFonts w:ascii="Segoe UI" w:hAnsi="Segoe UI" w:cs="Segoe UI"/>
      <w:sz w:val="18"/>
      <w:szCs w:val="18"/>
    </w:rPr>
  </w:style>
  <w:style w:type="character" w:styleId="Kommentarzeichen">
    <w:name w:val="annotation reference"/>
    <w:basedOn w:val="Absatz-Standardschriftart"/>
    <w:uiPriority w:val="99"/>
    <w:semiHidden/>
    <w:unhideWhenUsed/>
    <w:rsid w:val="001C1CB3"/>
    <w:rPr>
      <w:sz w:val="16"/>
      <w:szCs w:val="16"/>
    </w:rPr>
  </w:style>
  <w:style w:type="paragraph" w:styleId="Kommentartext">
    <w:name w:val="annotation text"/>
    <w:basedOn w:val="Standard"/>
    <w:link w:val="KommentartextZchn"/>
    <w:uiPriority w:val="99"/>
    <w:semiHidden/>
    <w:unhideWhenUsed/>
    <w:rsid w:val="001C1CB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C1CB3"/>
    <w:rPr>
      <w:sz w:val="20"/>
      <w:szCs w:val="20"/>
    </w:rPr>
  </w:style>
  <w:style w:type="paragraph" w:styleId="Kommentarthema">
    <w:name w:val="annotation subject"/>
    <w:basedOn w:val="Kommentartext"/>
    <w:next w:val="Kommentartext"/>
    <w:link w:val="KommentarthemaZchn"/>
    <w:uiPriority w:val="99"/>
    <w:semiHidden/>
    <w:unhideWhenUsed/>
    <w:rsid w:val="001C1CB3"/>
    <w:rPr>
      <w:b/>
      <w:bCs/>
    </w:rPr>
  </w:style>
  <w:style w:type="character" w:customStyle="1" w:styleId="KommentarthemaZchn">
    <w:name w:val="Kommentarthema Zchn"/>
    <w:basedOn w:val="KommentartextZchn"/>
    <w:link w:val="Kommentarthema"/>
    <w:uiPriority w:val="99"/>
    <w:semiHidden/>
    <w:rsid w:val="001C1C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ravailsuisse.ch"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finma.ch/de/news/2018/09/20180907-aktuell-transparenzberich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4B6BA-14FE-4DDE-B2AF-7EC82EAA5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1149</Words>
  <Characters>7244</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Kuert</dc:creator>
  <cp:keywords/>
  <dc:description/>
  <cp:lastModifiedBy>Linda Rosenkranz</cp:lastModifiedBy>
  <cp:revision>7</cp:revision>
  <cp:lastPrinted>2018-11-05T10:28:00Z</cp:lastPrinted>
  <dcterms:created xsi:type="dcterms:W3CDTF">2018-11-01T13:08:00Z</dcterms:created>
  <dcterms:modified xsi:type="dcterms:W3CDTF">2018-11-05T12:22:00Z</dcterms:modified>
</cp:coreProperties>
</file>