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AA" w:rsidRPr="000E34AA" w:rsidRDefault="000E34AA" w:rsidP="000A3CF8">
      <w:pPr>
        <w:spacing w:after="0" w:line="300" w:lineRule="exact"/>
        <w:rPr>
          <w:rFonts w:ascii="Arial" w:hAnsi="Arial" w:cs="Arial"/>
          <w:sz w:val="20"/>
          <w:szCs w:val="20"/>
        </w:rPr>
      </w:pPr>
      <w:r>
        <w:rPr>
          <w:rFonts w:ascii="Arial" w:hAnsi="Arial" w:cs="Arial"/>
          <w:sz w:val="20"/>
          <w:szCs w:val="20"/>
        </w:rPr>
        <w:t>Medienservice Travail.Suisse – Ausgabe vom 1</w:t>
      </w:r>
      <w:r w:rsidR="001E619A">
        <w:rPr>
          <w:rFonts w:ascii="Arial" w:hAnsi="Arial" w:cs="Arial"/>
          <w:sz w:val="20"/>
          <w:szCs w:val="20"/>
        </w:rPr>
        <w:t>4</w:t>
      </w:r>
      <w:r>
        <w:rPr>
          <w:rFonts w:ascii="Arial" w:hAnsi="Arial" w:cs="Arial"/>
          <w:sz w:val="20"/>
          <w:szCs w:val="20"/>
        </w:rPr>
        <w:t xml:space="preserve">. </w:t>
      </w:r>
      <w:r w:rsidR="0057092E">
        <w:rPr>
          <w:rFonts w:ascii="Arial" w:hAnsi="Arial" w:cs="Arial"/>
          <w:sz w:val="20"/>
          <w:szCs w:val="20"/>
        </w:rPr>
        <w:t xml:space="preserve">Mai </w:t>
      </w:r>
      <w:r>
        <w:rPr>
          <w:rFonts w:ascii="Arial" w:hAnsi="Arial" w:cs="Arial"/>
          <w:sz w:val="20"/>
          <w:szCs w:val="20"/>
        </w:rPr>
        <w:t>2018</w:t>
      </w:r>
    </w:p>
    <w:p w:rsidR="000E34AA" w:rsidRPr="000E34AA" w:rsidRDefault="000E34AA" w:rsidP="000A3CF8">
      <w:pPr>
        <w:spacing w:after="0" w:line="300" w:lineRule="exact"/>
        <w:rPr>
          <w:rFonts w:ascii="Arial" w:hAnsi="Arial" w:cs="Arial"/>
          <w:b/>
          <w:sz w:val="20"/>
          <w:szCs w:val="20"/>
        </w:rPr>
      </w:pPr>
    </w:p>
    <w:p w:rsidR="000E34AA" w:rsidRPr="000E34AA" w:rsidRDefault="000E34AA" w:rsidP="000A3CF8">
      <w:pPr>
        <w:spacing w:after="0" w:line="300" w:lineRule="exact"/>
        <w:rPr>
          <w:rFonts w:ascii="Arial" w:hAnsi="Arial" w:cs="Arial"/>
          <w:b/>
          <w:sz w:val="20"/>
          <w:szCs w:val="20"/>
        </w:rPr>
      </w:pPr>
    </w:p>
    <w:p w:rsidR="000E34AA" w:rsidRPr="000E34AA" w:rsidRDefault="000E34AA" w:rsidP="000A3CF8">
      <w:pPr>
        <w:spacing w:after="0" w:line="300" w:lineRule="exact"/>
        <w:rPr>
          <w:rFonts w:ascii="Arial" w:hAnsi="Arial" w:cs="Arial"/>
          <w:b/>
          <w:sz w:val="20"/>
          <w:szCs w:val="20"/>
        </w:rPr>
      </w:pPr>
    </w:p>
    <w:p w:rsidR="000E34AA" w:rsidRDefault="000E34AA" w:rsidP="000A3CF8">
      <w:pPr>
        <w:spacing w:after="0" w:line="300" w:lineRule="exact"/>
        <w:rPr>
          <w:rFonts w:ascii="Arial" w:hAnsi="Arial" w:cs="Arial"/>
          <w:b/>
          <w:sz w:val="20"/>
          <w:szCs w:val="20"/>
        </w:rPr>
      </w:pPr>
    </w:p>
    <w:p w:rsidR="001E619A" w:rsidRPr="000E34AA" w:rsidRDefault="001E619A" w:rsidP="000A3CF8">
      <w:pPr>
        <w:spacing w:after="0" w:line="300" w:lineRule="exact"/>
        <w:rPr>
          <w:rFonts w:ascii="Arial" w:hAnsi="Arial" w:cs="Arial"/>
          <w:b/>
          <w:sz w:val="20"/>
          <w:szCs w:val="20"/>
        </w:rPr>
      </w:pPr>
    </w:p>
    <w:p w:rsidR="009E7971" w:rsidRPr="000E34AA" w:rsidRDefault="0057092E" w:rsidP="000E34AA">
      <w:pPr>
        <w:spacing w:after="0" w:line="240" w:lineRule="auto"/>
        <w:rPr>
          <w:rFonts w:ascii="Arial" w:hAnsi="Arial" w:cs="Arial"/>
          <w:b/>
          <w:sz w:val="30"/>
          <w:szCs w:val="30"/>
        </w:rPr>
      </w:pPr>
      <w:r>
        <w:rPr>
          <w:rFonts w:ascii="Arial" w:hAnsi="Arial" w:cs="Arial"/>
          <w:b/>
          <w:sz w:val="30"/>
          <w:szCs w:val="30"/>
        </w:rPr>
        <w:t>Für Travail.Suisse bleiben die älteren Arbeitnehmenden auch nach d</w:t>
      </w:r>
      <w:r w:rsidRPr="0057092E">
        <w:rPr>
          <w:rFonts w:ascii="Arial" w:hAnsi="Arial" w:cs="Arial"/>
          <w:b/>
          <w:sz w:val="30"/>
          <w:szCs w:val="30"/>
        </w:rPr>
        <w:t>er Konferenz und dem 1. Mai ein</w:t>
      </w:r>
      <w:r w:rsidR="001E619A">
        <w:rPr>
          <w:rFonts w:ascii="Arial" w:hAnsi="Arial" w:cs="Arial"/>
          <w:b/>
          <w:sz w:val="30"/>
          <w:szCs w:val="30"/>
        </w:rPr>
        <w:t xml:space="preserve"> zentrales</w:t>
      </w:r>
      <w:r w:rsidRPr="0057092E">
        <w:rPr>
          <w:rFonts w:ascii="Arial" w:hAnsi="Arial" w:cs="Arial"/>
          <w:b/>
          <w:sz w:val="30"/>
          <w:szCs w:val="30"/>
        </w:rPr>
        <w:t xml:space="preserve"> Thema</w:t>
      </w:r>
      <w:r>
        <w:rPr>
          <w:rFonts w:ascii="Arial" w:hAnsi="Arial" w:cs="Arial"/>
          <w:b/>
          <w:sz w:val="30"/>
          <w:szCs w:val="30"/>
        </w:rPr>
        <w:t xml:space="preserve"> </w:t>
      </w:r>
    </w:p>
    <w:p w:rsidR="0055693B" w:rsidRPr="000E34AA" w:rsidRDefault="0055693B" w:rsidP="000E34AA">
      <w:pPr>
        <w:spacing w:after="0" w:line="300" w:lineRule="exact"/>
        <w:rPr>
          <w:rFonts w:ascii="Arial" w:hAnsi="Arial" w:cs="Arial"/>
          <w:b/>
          <w:sz w:val="20"/>
          <w:szCs w:val="20"/>
        </w:rPr>
      </w:pPr>
    </w:p>
    <w:p w:rsidR="000E34AA" w:rsidRDefault="0057092E" w:rsidP="000E34AA">
      <w:pPr>
        <w:spacing w:after="0" w:line="300" w:lineRule="exact"/>
        <w:rPr>
          <w:rFonts w:ascii="Arial" w:hAnsi="Arial" w:cs="Arial"/>
          <w:b/>
          <w:sz w:val="20"/>
          <w:szCs w:val="20"/>
        </w:rPr>
      </w:pPr>
      <w:r w:rsidRPr="0057092E">
        <w:rPr>
          <w:rFonts w:ascii="Arial" w:hAnsi="Arial" w:cs="Arial"/>
          <w:b/>
          <w:sz w:val="20"/>
          <w:szCs w:val="20"/>
        </w:rPr>
        <w:t>An der vierten nationalen Konferenz zum Thema ältere Arbeitnehmende hat Travail.Suisse</w:t>
      </w:r>
      <w:r w:rsidR="001E619A">
        <w:rPr>
          <w:rFonts w:ascii="Arial" w:hAnsi="Arial" w:cs="Arial"/>
          <w:b/>
          <w:sz w:val="20"/>
          <w:szCs w:val="20"/>
        </w:rPr>
        <w:t>, der unabhängige Dachverband der Arbeitnehmenden,</w:t>
      </w:r>
      <w:r w:rsidRPr="0057092E">
        <w:rPr>
          <w:rFonts w:ascii="Arial" w:hAnsi="Arial" w:cs="Arial"/>
          <w:b/>
          <w:sz w:val="20"/>
          <w:szCs w:val="20"/>
        </w:rPr>
        <w:t xml:space="preserve"> zusammen mit Bund, Kantonen und anderen nationalen Sozialpartnern eine gemeinsame Schlusserklärung verabschiedet. Obwohl die Fortschritte klein sind und die konkreten Massnahmen ausbleiben, darf die Wirkung einer nationalen Konferenz nicht unterschätzt werden. Die Demografie erfordert ein Umdenken</w:t>
      </w:r>
      <w:r>
        <w:rPr>
          <w:rFonts w:ascii="Arial" w:hAnsi="Arial" w:cs="Arial"/>
          <w:b/>
          <w:sz w:val="20"/>
          <w:szCs w:val="20"/>
        </w:rPr>
        <w:t xml:space="preserve"> </w:t>
      </w:r>
      <w:r w:rsidR="001E619A">
        <w:rPr>
          <w:rFonts w:ascii="Arial" w:hAnsi="Arial" w:cs="Arial"/>
          <w:b/>
          <w:sz w:val="20"/>
          <w:szCs w:val="20"/>
        </w:rPr>
        <w:t>der</w:t>
      </w:r>
      <w:r>
        <w:rPr>
          <w:rFonts w:ascii="Arial" w:hAnsi="Arial" w:cs="Arial"/>
          <w:b/>
          <w:sz w:val="20"/>
          <w:szCs w:val="20"/>
        </w:rPr>
        <w:t xml:space="preserve"> Unternehmen, aber auch </w:t>
      </w:r>
      <w:r w:rsidR="001E619A">
        <w:rPr>
          <w:rFonts w:ascii="Arial" w:hAnsi="Arial" w:cs="Arial"/>
          <w:b/>
          <w:sz w:val="20"/>
          <w:szCs w:val="20"/>
        </w:rPr>
        <w:t>der</w:t>
      </w:r>
      <w:r>
        <w:rPr>
          <w:rFonts w:ascii="Arial" w:hAnsi="Arial" w:cs="Arial"/>
          <w:b/>
          <w:sz w:val="20"/>
          <w:szCs w:val="20"/>
        </w:rPr>
        <w:t xml:space="preserve"> Arbeitnehmenden</w:t>
      </w:r>
      <w:r w:rsidRPr="0057092E">
        <w:rPr>
          <w:rFonts w:ascii="Arial" w:hAnsi="Arial" w:cs="Arial"/>
          <w:b/>
          <w:sz w:val="20"/>
          <w:szCs w:val="20"/>
        </w:rPr>
        <w:t xml:space="preserve">. </w:t>
      </w:r>
      <w:r>
        <w:rPr>
          <w:rFonts w:ascii="Arial" w:hAnsi="Arial" w:cs="Arial"/>
          <w:b/>
          <w:sz w:val="20"/>
          <w:szCs w:val="20"/>
        </w:rPr>
        <w:t xml:space="preserve">Travail.Suisse wird sich </w:t>
      </w:r>
      <w:r w:rsidR="001E619A">
        <w:rPr>
          <w:rFonts w:ascii="Arial" w:hAnsi="Arial" w:cs="Arial"/>
          <w:b/>
          <w:sz w:val="20"/>
          <w:szCs w:val="20"/>
        </w:rPr>
        <w:t>weiterhin</w:t>
      </w:r>
      <w:r>
        <w:rPr>
          <w:rFonts w:ascii="Arial" w:hAnsi="Arial" w:cs="Arial"/>
          <w:b/>
          <w:sz w:val="20"/>
          <w:szCs w:val="20"/>
        </w:rPr>
        <w:t xml:space="preserve"> für die Verbesserung der Situation einsetzen. </w:t>
      </w:r>
    </w:p>
    <w:p w:rsidR="009756E0" w:rsidRPr="000E34AA" w:rsidRDefault="009756E0" w:rsidP="000E34AA">
      <w:pPr>
        <w:spacing w:after="0" w:line="300" w:lineRule="exact"/>
        <w:rPr>
          <w:rFonts w:ascii="Arial" w:hAnsi="Arial" w:cs="Arial"/>
          <w:b/>
          <w:sz w:val="20"/>
          <w:szCs w:val="20"/>
        </w:rPr>
      </w:pPr>
    </w:p>
    <w:p w:rsidR="00921F92" w:rsidRPr="000E34AA" w:rsidRDefault="001E619A" w:rsidP="000E34AA">
      <w:pPr>
        <w:spacing w:after="0" w:line="300" w:lineRule="exact"/>
        <w:rPr>
          <w:rFonts w:ascii="Arial" w:hAnsi="Arial" w:cs="Arial"/>
          <w:i/>
          <w:sz w:val="20"/>
          <w:szCs w:val="20"/>
        </w:rPr>
      </w:pPr>
      <w:r>
        <w:rPr>
          <w:rFonts w:ascii="Arial" w:hAnsi="Arial" w:cs="Arial"/>
          <w:i/>
          <w:sz w:val="20"/>
          <w:szCs w:val="20"/>
        </w:rPr>
        <w:t xml:space="preserve">Von </w:t>
      </w:r>
      <w:r w:rsidR="00921F92" w:rsidRPr="000E34AA">
        <w:rPr>
          <w:rFonts w:ascii="Arial" w:hAnsi="Arial" w:cs="Arial"/>
          <w:i/>
          <w:sz w:val="20"/>
          <w:szCs w:val="20"/>
        </w:rPr>
        <w:t>Adrian Wüthrich, Präsident von Travail.Suisse</w:t>
      </w:r>
    </w:p>
    <w:p w:rsidR="000E34AA" w:rsidRDefault="000E34AA" w:rsidP="000E34AA">
      <w:pPr>
        <w:spacing w:after="0" w:line="300" w:lineRule="exact"/>
        <w:rPr>
          <w:rFonts w:ascii="Arial" w:hAnsi="Arial" w:cs="Arial"/>
          <w:sz w:val="20"/>
          <w:szCs w:val="20"/>
        </w:rPr>
      </w:pPr>
    </w:p>
    <w:p w:rsidR="0057092E" w:rsidRDefault="0057092E" w:rsidP="0057092E">
      <w:pPr>
        <w:spacing w:after="0" w:line="300" w:lineRule="exact"/>
        <w:rPr>
          <w:rFonts w:ascii="Arial" w:hAnsi="Arial" w:cs="Arial"/>
          <w:sz w:val="20"/>
        </w:rPr>
      </w:pPr>
      <w:r>
        <w:rPr>
          <w:rFonts w:ascii="Arial" w:hAnsi="Arial" w:cs="Arial"/>
          <w:sz w:val="20"/>
        </w:rPr>
        <w:t xml:space="preserve">Das Schöne </w:t>
      </w:r>
      <w:r w:rsidR="001E619A">
        <w:rPr>
          <w:rFonts w:ascii="Arial" w:hAnsi="Arial" w:cs="Arial"/>
          <w:sz w:val="20"/>
        </w:rPr>
        <w:t>am</w:t>
      </w:r>
      <w:r>
        <w:rPr>
          <w:rFonts w:ascii="Arial" w:hAnsi="Arial" w:cs="Arial"/>
          <w:sz w:val="20"/>
        </w:rPr>
        <w:t xml:space="preserve"> gesellschaftlichen Fortschritt ist, dass wir län</w:t>
      </w:r>
      <w:r w:rsidR="00DF4E28">
        <w:rPr>
          <w:rFonts w:ascii="Arial" w:hAnsi="Arial" w:cs="Arial"/>
          <w:sz w:val="20"/>
        </w:rPr>
        <w:t xml:space="preserve">ger leben. Dazu kommt mit der aktuellen demografischen Entwicklung, dass in den nächsten Jahren weiterhin mehr Arbeitnehmende den Arbeitsmarkt verlassen, als neue eintreten. Die Unternehmen werden also </w:t>
      </w:r>
      <w:r w:rsidR="001E619A">
        <w:rPr>
          <w:rFonts w:ascii="Arial" w:hAnsi="Arial" w:cs="Arial"/>
          <w:sz w:val="20"/>
        </w:rPr>
        <w:t>auch mehr</w:t>
      </w:r>
      <w:r w:rsidR="00DF4E28">
        <w:rPr>
          <w:rFonts w:ascii="Arial" w:hAnsi="Arial" w:cs="Arial"/>
          <w:sz w:val="20"/>
        </w:rPr>
        <w:t xml:space="preserve"> ältere Arbeitnehmende beschäftigen. Im Jahr 2017 entsprach der Anteil von Personen ab 55 Jahren am gesamten Arbeitsangebot bereits 18 Prozent, während es 2007 erst 16 Prozent waren. Dies erfordert </w:t>
      </w:r>
      <w:r w:rsidR="001E619A">
        <w:rPr>
          <w:rFonts w:ascii="Arial" w:hAnsi="Arial" w:cs="Arial"/>
          <w:sz w:val="20"/>
        </w:rPr>
        <w:t xml:space="preserve">aber </w:t>
      </w:r>
      <w:r w:rsidR="00DF4E28">
        <w:rPr>
          <w:rFonts w:ascii="Arial" w:hAnsi="Arial" w:cs="Arial"/>
          <w:sz w:val="20"/>
        </w:rPr>
        <w:t>ein Umdenken in der Personalpolitik. Die älteren Mitarbeitenden müssen für lebenslange</w:t>
      </w:r>
      <w:r w:rsidR="000A3CF8">
        <w:rPr>
          <w:rFonts w:ascii="Arial" w:hAnsi="Arial" w:cs="Arial"/>
          <w:sz w:val="20"/>
        </w:rPr>
        <w:t>s</w:t>
      </w:r>
      <w:r w:rsidR="00DF4E28">
        <w:rPr>
          <w:rFonts w:ascii="Arial" w:hAnsi="Arial" w:cs="Arial"/>
          <w:sz w:val="20"/>
        </w:rPr>
        <w:t xml:space="preserve"> Lernen bereit sein und sich mit ihren beruflichen Entwicklungsmöglichkeiten auseinandersetzen. Die Arbeitgeber müssen in die älteren Arbeitnehmenden investieren, damit sie ihre Arbeitsmarktfähigkeit erhalten können. Wer im Alter die verlangten Qualifikationen nicht mehr mitbringt, riskiert </w:t>
      </w:r>
      <w:r w:rsidR="00CC39ED">
        <w:rPr>
          <w:rFonts w:ascii="Arial" w:hAnsi="Arial" w:cs="Arial"/>
          <w:sz w:val="20"/>
        </w:rPr>
        <w:t>den Anschluss zu verlieren. So ist in den</w:t>
      </w:r>
      <w:r w:rsidRPr="0085302C">
        <w:rPr>
          <w:rFonts w:ascii="Arial" w:hAnsi="Arial" w:cs="Arial"/>
          <w:sz w:val="20"/>
        </w:rPr>
        <w:t xml:space="preserve"> letzten fünf Jahre</w:t>
      </w:r>
      <w:r w:rsidR="00CC39ED">
        <w:rPr>
          <w:rFonts w:ascii="Arial" w:hAnsi="Arial" w:cs="Arial"/>
          <w:sz w:val="20"/>
        </w:rPr>
        <w:t>n</w:t>
      </w:r>
      <w:r w:rsidRPr="0085302C">
        <w:rPr>
          <w:rFonts w:ascii="Arial" w:hAnsi="Arial" w:cs="Arial"/>
          <w:sz w:val="20"/>
        </w:rPr>
        <w:t xml:space="preserve"> die Zahl der arbeitslosen Personen über 50 Jahre im Vergleich zu den übrigen Alterskategorien deutlich überdurchschnittlich angestiegen (vgl. Grafik 1).</w:t>
      </w:r>
      <w:r w:rsidR="00CC39ED">
        <w:rPr>
          <w:rFonts w:ascii="Arial" w:hAnsi="Arial" w:cs="Arial"/>
          <w:sz w:val="20"/>
        </w:rPr>
        <w:t xml:space="preserve"> 2017 blieb die Quote zu 2016 kons</w:t>
      </w:r>
      <w:r w:rsidR="001E619A">
        <w:rPr>
          <w:rFonts w:ascii="Arial" w:hAnsi="Arial" w:cs="Arial"/>
          <w:sz w:val="20"/>
        </w:rPr>
        <w:t>tant, obwohl die Wirtschaft gut</w:t>
      </w:r>
      <w:r w:rsidR="00CC39ED">
        <w:rPr>
          <w:rFonts w:ascii="Arial" w:hAnsi="Arial" w:cs="Arial"/>
          <w:sz w:val="20"/>
        </w:rPr>
        <w:t xml:space="preserve"> lief und Fachkräfte gesucht waren.</w:t>
      </w:r>
    </w:p>
    <w:p w:rsidR="00CC39ED" w:rsidRPr="0085302C" w:rsidRDefault="00CC39ED" w:rsidP="0057092E">
      <w:pPr>
        <w:spacing w:after="0" w:line="300" w:lineRule="exact"/>
        <w:rPr>
          <w:rFonts w:ascii="Arial" w:hAnsi="Arial" w:cs="Arial"/>
          <w:sz w:val="20"/>
        </w:rPr>
      </w:pPr>
    </w:p>
    <w:p w:rsidR="0057092E" w:rsidRPr="00956BED" w:rsidRDefault="0057092E" w:rsidP="0057092E">
      <w:pPr>
        <w:spacing w:after="0" w:line="257" w:lineRule="auto"/>
        <w:rPr>
          <w:b/>
          <w:i/>
        </w:rPr>
      </w:pPr>
      <w:r w:rsidRPr="00956BED">
        <w:rPr>
          <w:b/>
          <w:i/>
        </w:rPr>
        <w:t>Grafik 1: Veränderung der arbeitslosen Personen nach Alter 2013-2017</w:t>
      </w:r>
    </w:p>
    <w:p w:rsidR="0057092E" w:rsidRDefault="0057092E" w:rsidP="0057092E">
      <w:pPr>
        <w:spacing w:after="0" w:line="257" w:lineRule="auto"/>
      </w:pPr>
      <w:r>
        <w:rPr>
          <w:noProof/>
          <w:lang w:eastAsia="de-CH"/>
        </w:rPr>
        <w:drawing>
          <wp:inline distT="0" distB="0" distL="0" distR="0" wp14:anchorId="34D706CA" wp14:editId="382C485A">
            <wp:extent cx="5363845" cy="2519680"/>
            <wp:effectExtent l="0" t="0" r="8255" b="1397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7092E" w:rsidRPr="00E46707" w:rsidRDefault="0057092E" w:rsidP="0057092E">
      <w:pPr>
        <w:spacing w:after="0" w:line="257" w:lineRule="auto"/>
        <w:rPr>
          <w:rFonts w:ascii="Arial" w:hAnsi="Arial" w:cs="Arial"/>
          <w:sz w:val="16"/>
        </w:rPr>
      </w:pPr>
      <w:r w:rsidRPr="00E46707">
        <w:rPr>
          <w:rFonts w:ascii="Arial" w:hAnsi="Arial" w:cs="Arial"/>
          <w:sz w:val="16"/>
        </w:rPr>
        <w:t xml:space="preserve">Quelle: </w:t>
      </w:r>
      <w:r>
        <w:rPr>
          <w:rFonts w:ascii="Arial" w:hAnsi="Arial" w:cs="Arial"/>
          <w:sz w:val="16"/>
        </w:rPr>
        <w:t>AMSTAT; eigene Berechnung</w:t>
      </w:r>
      <w:r w:rsidR="00CC39ED">
        <w:rPr>
          <w:rFonts w:ascii="Arial" w:hAnsi="Arial" w:cs="Arial"/>
          <w:sz w:val="16"/>
        </w:rPr>
        <w:t xml:space="preserve"> Travail.Suisse</w:t>
      </w:r>
    </w:p>
    <w:p w:rsidR="0057092E" w:rsidRPr="004B7854" w:rsidRDefault="0057092E" w:rsidP="0057092E">
      <w:pPr>
        <w:spacing w:after="0" w:line="257" w:lineRule="auto"/>
        <w:rPr>
          <w:rFonts w:ascii="Arial" w:hAnsi="Arial" w:cs="Arial"/>
          <w:sz w:val="16"/>
        </w:rPr>
      </w:pPr>
    </w:p>
    <w:p w:rsidR="0057092E" w:rsidRPr="004B7854" w:rsidRDefault="0057092E" w:rsidP="0057092E">
      <w:pPr>
        <w:spacing w:after="0" w:line="257" w:lineRule="auto"/>
        <w:rPr>
          <w:rFonts w:ascii="Arial" w:hAnsi="Arial" w:cs="Arial"/>
          <w:sz w:val="16"/>
        </w:rPr>
      </w:pPr>
    </w:p>
    <w:p w:rsidR="0057092E" w:rsidRDefault="001E619A" w:rsidP="00CC39ED">
      <w:pPr>
        <w:spacing w:after="0" w:line="300" w:lineRule="exact"/>
        <w:rPr>
          <w:rFonts w:ascii="Arial" w:hAnsi="Arial" w:cs="Arial"/>
          <w:sz w:val="20"/>
        </w:rPr>
      </w:pPr>
      <w:r>
        <w:rPr>
          <w:rFonts w:ascii="Arial" w:hAnsi="Arial" w:cs="Arial"/>
          <w:sz w:val="20"/>
        </w:rPr>
        <w:t>Diese Zunahme ist teilweise D</w:t>
      </w:r>
      <w:r w:rsidR="0057092E" w:rsidRPr="0085302C">
        <w:rPr>
          <w:rFonts w:ascii="Arial" w:hAnsi="Arial" w:cs="Arial"/>
          <w:sz w:val="20"/>
        </w:rPr>
        <w:t>emografie</w:t>
      </w:r>
      <w:r>
        <w:rPr>
          <w:rFonts w:ascii="Arial" w:hAnsi="Arial" w:cs="Arial"/>
          <w:sz w:val="20"/>
        </w:rPr>
        <w:t xml:space="preserve"> </w:t>
      </w:r>
      <w:r w:rsidR="0057092E" w:rsidRPr="0085302C">
        <w:rPr>
          <w:rFonts w:ascii="Arial" w:hAnsi="Arial" w:cs="Arial"/>
          <w:sz w:val="20"/>
        </w:rPr>
        <w:t>bedingt, wiederspiegelt aber auch die sich verschlechternden Chancen der älteren Arbeitnehmenden auf dem Arbeitsmarkt, wie ein Blick auf die Veränderungen der Arbeitslosenquoten zeigt</w:t>
      </w:r>
      <w:r w:rsidR="0057092E">
        <w:rPr>
          <w:rFonts w:ascii="Arial" w:hAnsi="Arial" w:cs="Arial"/>
          <w:sz w:val="20"/>
        </w:rPr>
        <w:t xml:space="preserve"> (vgl. Tabelle1)</w:t>
      </w:r>
      <w:r w:rsidR="0057092E" w:rsidRPr="0085302C">
        <w:rPr>
          <w:rFonts w:ascii="Arial" w:hAnsi="Arial" w:cs="Arial"/>
          <w:sz w:val="20"/>
        </w:rPr>
        <w:t>.</w:t>
      </w:r>
    </w:p>
    <w:p w:rsidR="0057092E" w:rsidRDefault="0057092E" w:rsidP="0057092E">
      <w:pPr>
        <w:spacing w:after="0" w:line="257" w:lineRule="auto"/>
        <w:rPr>
          <w:rFonts w:ascii="Arial" w:hAnsi="Arial" w:cs="Arial"/>
          <w:sz w:val="16"/>
        </w:rPr>
      </w:pPr>
    </w:p>
    <w:p w:rsidR="0057092E" w:rsidRPr="00D36086" w:rsidRDefault="0057092E" w:rsidP="0057092E">
      <w:pPr>
        <w:spacing w:after="0" w:line="257" w:lineRule="auto"/>
        <w:rPr>
          <w:rFonts w:ascii="Arial" w:hAnsi="Arial" w:cs="Arial"/>
          <w:sz w:val="16"/>
        </w:rPr>
      </w:pPr>
    </w:p>
    <w:p w:rsidR="0057092E" w:rsidRPr="00210179" w:rsidRDefault="0057092E" w:rsidP="0057092E">
      <w:pPr>
        <w:spacing w:after="0" w:line="257" w:lineRule="auto"/>
        <w:rPr>
          <w:b/>
          <w:i/>
        </w:rPr>
      </w:pPr>
      <w:r w:rsidRPr="00210179">
        <w:rPr>
          <w:b/>
          <w:i/>
        </w:rPr>
        <w:t>Tabelle 1: Vergleich Arbeitslosenquoten nach Alter (jeweils Ende Jahr)</w:t>
      </w:r>
    </w:p>
    <w:tbl>
      <w:tblPr>
        <w:tblStyle w:val="Tabellenraster"/>
        <w:tblW w:w="0" w:type="auto"/>
        <w:tblLook w:val="04A0" w:firstRow="1" w:lastRow="0" w:firstColumn="1" w:lastColumn="0" w:noHBand="0" w:noVBand="1"/>
      </w:tblPr>
      <w:tblGrid>
        <w:gridCol w:w="1984"/>
        <w:gridCol w:w="1701"/>
        <w:gridCol w:w="1701"/>
        <w:gridCol w:w="1701"/>
      </w:tblGrid>
      <w:tr w:rsidR="0057092E" w:rsidTr="00613B7A">
        <w:trPr>
          <w:trHeight w:val="397"/>
        </w:trPr>
        <w:tc>
          <w:tcPr>
            <w:tcW w:w="1984" w:type="dxa"/>
            <w:vAlign w:val="center"/>
          </w:tcPr>
          <w:p w:rsidR="0057092E" w:rsidRPr="00CC39ED" w:rsidRDefault="0057092E" w:rsidP="00613B7A">
            <w:pPr>
              <w:jc w:val="center"/>
              <w:rPr>
                <w:rFonts w:ascii="Arial" w:hAnsi="Arial" w:cs="Arial"/>
                <w:b/>
              </w:rPr>
            </w:pPr>
            <w:r w:rsidRPr="00CC39ED">
              <w:rPr>
                <w:rFonts w:ascii="Arial" w:hAnsi="Arial" w:cs="Arial"/>
                <w:b/>
              </w:rPr>
              <w:t>Alter</w:t>
            </w:r>
          </w:p>
        </w:tc>
        <w:tc>
          <w:tcPr>
            <w:tcW w:w="1701" w:type="dxa"/>
            <w:vAlign w:val="center"/>
          </w:tcPr>
          <w:p w:rsidR="0057092E" w:rsidRPr="00CC39ED" w:rsidRDefault="0057092E" w:rsidP="00613B7A">
            <w:pPr>
              <w:jc w:val="center"/>
              <w:rPr>
                <w:rFonts w:ascii="Arial" w:hAnsi="Arial" w:cs="Arial"/>
                <w:b/>
              </w:rPr>
            </w:pPr>
            <w:r w:rsidRPr="00CC39ED">
              <w:rPr>
                <w:rFonts w:ascii="Arial" w:hAnsi="Arial" w:cs="Arial"/>
                <w:b/>
              </w:rPr>
              <w:t>2012</w:t>
            </w:r>
          </w:p>
        </w:tc>
        <w:tc>
          <w:tcPr>
            <w:tcW w:w="1701" w:type="dxa"/>
            <w:vAlign w:val="center"/>
          </w:tcPr>
          <w:p w:rsidR="0057092E" w:rsidRPr="00CC39ED" w:rsidRDefault="0057092E" w:rsidP="00613B7A">
            <w:pPr>
              <w:jc w:val="center"/>
              <w:rPr>
                <w:rFonts w:ascii="Arial" w:hAnsi="Arial" w:cs="Arial"/>
                <w:b/>
              </w:rPr>
            </w:pPr>
            <w:r w:rsidRPr="00CC39ED">
              <w:rPr>
                <w:rFonts w:ascii="Arial" w:hAnsi="Arial" w:cs="Arial"/>
                <w:b/>
              </w:rPr>
              <w:t>2017</w:t>
            </w:r>
          </w:p>
        </w:tc>
        <w:tc>
          <w:tcPr>
            <w:tcW w:w="1701" w:type="dxa"/>
            <w:vAlign w:val="center"/>
          </w:tcPr>
          <w:p w:rsidR="0057092E" w:rsidRPr="00CC39ED" w:rsidRDefault="0057092E" w:rsidP="00613B7A">
            <w:pPr>
              <w:jc w:val="center"/>
              <w:rPr>
                <w:rFonts w:ascii="Arial" w:hAnsi="Arial" w:cs="Arial"/>
                <w:b/>
              </w:rPr>
            </w:pPr>
            <w:r w:rsidRPr="00CC39ED">
              <w:rPr>
                <w:rFonts w:ascii="Arial" w:hAnsi="Arial" w:cs="Arial"/>
                <w:b/>
              </w:rPr>
              <w:t>Veränderung</w:t>
            </w:r>
          </w:p>
        </w:tc>
      </w:tr>
      <w:tr w:rsidR="0057092E" w:rsidTr="00613B7A">
        <w:trPr>
          <w:trHeight w:val="397"/>
        </w:trPr>
        <w:tc>
          <w:tcPr>
            <w:tcW w:w="1984" w:type="dxa"/>
            <w:vAlign w:val="bottom"/>
          </w:tcPr>
          <w:p w:rsidR="0057092E" w:rsidRPr="00CC39ED" w:rsidRDefault="0057092E" w:rsidP="00613B7A">
            <w:pPr>
              <w:jc w:val="center"/>
              <w:rPr>
                <w:rFonts w:ascii="Arial" w:hAnsi="Arial" w:cs="Arial"/>
              </w:rPr>
            </w:pPr>
            <w:r w:rsidRPr="00CC39ED">
              <w:rPr>
                <w:rFonts w:ascii="Arial" w:hAnsi="Arial" w:cs="Arial"/>
              </w:rPr>
              <w:t>15-24 Jahre</w:t>
            </w:r>
          </w:p>
        </w:tc>
        <w:tc>
          <w:tcPr>
            <w:tcW w:w="1701" w:type="dxa"/>
            <w:vAlign w:val="bottom"/>
          </w:tcPr>
          <w:p w:rsidR="0057092E" w:rsidRPr="00CC39ED" w:rsidRDefault="0057092E" w:rsidP="00613B7A">
            <w:pPr>
              <w:jc w:val="center"/>
              <w:rPr>
                <w:rFonts w:ascii="Arial" w:hAnsi="Arial" w:cs="Arial"/>
              </w:rPr>
            </w:pPr>
            <w:r w:rsidRPr="00CC39ED">
              <w:rPr>
                <w:rFonts w:ascii="Arial" w:hAnsi="Arial" w:cs="Arial"/>
              </w:rPr>
              <w:t>3.6%</w:t>
            </w:r>
          </w:p>
        </w:tc>
        <w:tc>
          <w:tcPr>
            <w:tcW w:w="1701" w:type="dxa"/>
            <w:vAlign w:val="bottom"/>
          </w:tcPr>
          <w:p w:rsidR="0057092E" w:rsidRPr="00CC39ED" w:rsidRDefault="0057092E" w:rsidP="00613B7A">
            <w:pPr>
              <w:jc w:val="center"/>
              <w:rPr>
                <w:rFonts w:ascii="Arial" w:hAnsi="Arial" w:cs="Arial"/>
              </w:rPr>
            </w:pPr>
            <w:r w:rsidRPr="00CC39ED">
              <w:rPr>
                <w:rFonts w:ascii="Arial" w:hAnsi="Arial" w:cs="Arial"/>
              </w:rPr>
              <w:t>3.0%</w:t>
            </w:r>
          </w:p>
        </w:tc>
        <w:tc>
          <w:tcPr>
            <w:tcW w:w="1701" w:type="dxa"/>
            <w:vAlign w:val="bottom"/>
          </w:tcPr>
          <w:p w:rsidR="0057092E" w:rsidRPr="00CC39ED" w:rsidRDefault="0057092E" w:rsidP="00613B7A">
            <w:pPr>
              <w:jc w:val="center"/>
              <w:rPr>
                <w:rFonts w:ascii="Arial" w:hAnsi="Arial" w:cs="Arial"/>
              </w:rPr>
            </w:pPr>
            <w:r w:rsidRPr="00CC39ED">
              <w:rPr>
                <w:rFonts w:ascii="Arial" w:hAnsi="Arial" w:cs="Arial"/>
              </w:rPr>
              <w:t>-0.6%</w:t>
            </w:r>
          </w:p>
        </w:tc>
      </w:tr>
      <w:tr w:rsidR="0057092E" w:rsidTr="00613B7A">
        <w:trPr>
          <w:trHeight w:val="454"/>
        </w:trPr>
        <w:tc>
          <w:tcPr>
            <w:tcW w:w="1984" w:type="dxa"/>
            <w:vAlign w:val="bottom"/>
          </w:tcPr>
          <w:p w:rsidR="0057092E" w:rsidRPr="00CC39ED" w:rsidRDefault="0057092E" w:rsidP="00613B7A">
            <w:pPr>
              <w:jc w:val="center"/>
              <w:rPr>
                <w:rFonts w:ascii="Arial" w:hAnsi="Arial" w:cs="Arial"/>
              </w:rPr>
            </w:pPr>
            <w:r w:rsidRPr="00CC39ED">
              <w:rPr>
                <w:rFonts w:ascii="Arial" w:hAnsi="Arial" w:cs="Arial"/>
              </w:rPr>
              <w:t>25-49 Jahre</w:t>
            </w:r>
          </w:p>
        </w:tc>
        <w:tc>
          <w:tcPr>
            <w:tcW w:w="1701" w:type="dxa"/>
            <w:vAlign w:val="bottom"/>
          </w:tcPr>
          <w:p w:rsidR="0057092E" w:rsidRPr="00CC39ED" w:rsidRDefault="0057092E" w:rsidP="00613B7A">
            <w:pPr>
              <w:jc w:val="center"/>
              <w:rPr>
                <w:rFonts w:ascii="Arial" w:hAnsi="Arial" w:cs="Arial"/>
              </w:rPr>
            </w:pPr>
            <w:r w:rsidRPr="00CC39ED">
              <w:rPr>
                <w:rFonts w:ascii="Arial" w:hAnsi="Arial" w:cs="Arial"/>
              </w:rPr>
              <w:t>3.5%</w:t>
            </w:r>
          </w:p>
        </w:tc>
        <w:tc>
          <w:tcPr>
            <w:tcW w:w="1701" w:type="dxa"/>
            <w:vAlign w:val="bottom"/>
          </w:tcPr>
          <w:p w:rsidR="0057092E" w:rsidRPr="00CC39ED" w:rsidRDefault="0057092E" w:rsidP="00613B7A">
            <w:pPr>
              <w:jc w:val="center"/>
              <w:rPr>
                <w:rFonts w:ascii="Arial" w:hAnsi="Arial" w:cs="Arial"/>
              </w:rPr>
            </w:pPr>
            <w:r w:rsidRPr="00CC39ED">
              <w:rPr>
                <w:rFonts w:ascii="Arial" w:hAnsi="Arial" w:cs="Arial"/>
              </w:rPr>
              <w:t>3.5%</w:t>
            </w:r>
          </w:p>
        </w:tc>
        <w:tc>
          <w:tcPr>
            <w:tcW w:w="1701" w:type="dxa"/>
            <w:vAlign w:val="bottom"/>
          </w:tcPr>
          <w:p w:rsidR="0057092E" w:rsidRPr="00CC39ED" w:rsidRDefault="0057092E" w:rsidP="00613B7A">
            <w:pPr>
              <w:jc w:val="center"/>
              <w:rPr>
                <w:rFonts w:ascii="Arial" w:hAnsi="Arial" w:cs="Arial"/>
              </w:rPr>
            </w:pPr>
            <w:r w:rsidRPr="00CC39ED">
              <w:rPr>
                <w:rFonts w:ascii="Arial" w:hAnsi="Arial" w:cs="Arial"/>
              </w:rPr>
              <w:t>0%</w:t>
            </w:r>
          </w:p>
        </w:tc>
      </w:tr>
      <w:tr w:rsidR="0057092E" w:rsidTr="00613B7A">
        <w:trPr>
          <w:trHeight w:val="454"/>
        </w:trPr>
        <w:tc>
          <w:tcPr>
            <w:tcW w:w="1984" w:type="dxa"/>
            <w:vAlign w:val="bottom"/>
          </w:tcPr>
          <w:p w:rsidR="0057092E" w:rsidRPr="00CC39ED" w:rsidRDefault="0057092E" w:rsidP="00613B7A">
            <w:pPr>
              <w:jc w:val="center"/>
              <w:rPr>
                <w:rFonts w:ascii="Arial" w:hAnsi="Arial" w:cs="Arial"/>
              </w:rPr>
            </w:pPr>
            <w:r w:rsidRPr="00CC39ED">
              <w:rPr>
                <w:rFonts w:ascii="Arial" w:hAnsi="Arial" w:cs="Arial"/>
              </w:rPr>
              <w:t>50-54 Jahre</w:t>
            </w:r>
          </w:p>
        </w:tc>
        <w:tc>
          <w:tcPr>
            <w:tcW w:w="1701" w:type="dxa"/>
            <w:vAlign w:val="bottom"/>
          </w:tcPr>
          <w:p w:rsidR="0057092E" w:rsidRPr="00CC39ED" w:rsidRDefault="0057092E" w:rsidP="00613B7A">
            <w:pPr>
              <w:jc w:val="center"/>
              <w:rPr>
                <w:rFonts w:ascii="Arial" w:hAnsi="Arial" w:cs="Arial"/>
              </w:rPr>
            </w:pPr>
            <w:r w:rsidRPr="00CC39ED">
              <w:rPr>
                <w:rFonts w:ascii="Arial" w:hAnsi="Arial" w:cs="Arial"/>
              </w:rPr>
              <w:t>2.9%</w:t>
            </w:r>
          </w:p>
        </w:tc>
        <w:tc>
          <w:tcPr>
            <w:tcW w:w="1701" w:type="dxa"/>
            <w:vAlign w:val="bottom"/>
          </w:tcPr>
          <w:p w:rsidR="0057092E" w:rsidRPr="00CC39ED" w:rsidRDefault="0057092E" w:rsidP="00613B7A">
            <w:pPr>
              <w:jc w:val="center"/>
              <w:rPr>
                <w:rFonts w:ascii="Arial" w:hAnsi="Arial" w:cs="Arial"/>
              </w:rPr>
            </w:pPr>
            <w:r w:rsidRPr="00CC39ED">
              <w:rPr>
                <w:rFonts w:ascii="Arial" w:hAnsi="Arial" w:cs="Arial"/>
              </w:rPr>
              <w:t>3.0%</w:t>
            </w:r>
          </w:p>
        </w:tc>
        <w:tc>
          <w:tcPr>
            <w:tcW w:w="1701" w:type="dxa"/>
            <w:vAlign w:val="bottom"/>
          </w:tcPr>
          <w:p w:rsidR="0057092E" w:rsidRPr="00CC39ED" w:rsidRDefault="0057092E" w:rsidP="00613B7A">
            <w:pPr>
              <w:jc w:val="center"/>
              <w:rPr>
                <w:rFonts w:ascii="Arial" w:hAnsi="Arial" w:cs="Arial"/>
              </w:rPr>
            </w:pPr>
            <w:r w:rsidRPr="00CC39ED">
              <w:rPr>
                <w:rFonts w:ascii="Arial" w:hAnsi="Arial" w:cs="Arial"/>
              </w:rPr>
              <w:t>+0.1%</w:t>
            </w:r>
          </w:p>
        </w:tc>
      </w:tr>
      <w:tr w:rsidR="0057092E" w:rsidTr="00613B7A">
        <w:trPr>
          <w:trHeight w:val="454"/>
        </w:trPr>
        <w:tc>
          <w:tcPr>
            <w:tcW w:w="1984" w:type="dxa"/>
            <w:vAlign w:val="bottom"/>
          </w:tcPr>
          <w:p w:rsidR="0057092E" w:rsidRPr="00CC39ED" w:rsidRDefault="0057092E" w:rsidP="00613B7A">
            <w:pPr>
              <w:jc w:val="center"/>
              <w:rPr>
                <w:rFonts w:ascii="Arial" w:hAnsi="Arial" w:cs="Arial"/>
              </w:rPr>
            </w:pPr>
            <w:r w:rsidRPr="00CC39ED">
              <w:rPr>
                <w:rFonts w:ascii="Arial" w:hAnsi="Arial" w:cs="Arial"/>
              </w:rPr>
              <w:t>55-59 Jahre</w:t>
            </w:r>
          </w:p>
        </w:tc>
        <w:tc>
          <w:tcPr>
            <w:tcW w:w="1701" w:type="dxa"/>
            <w:vAlign w:val="bottom"/>
          </w:tcPr>
          <w:p w:rsidR="0057092E" w:rsidRPr="00CC39ED" w:rsidRDefault="0057092E" w:rsidP="00613B7A">
            <w:pPr>
              <w:jc w:val="center"/>
              <w:rPr>
                <w:rFonts w:ascii="Arial" w:hAnsi="Arial" w:cs="Arial"/>
              </w:rPr>
            </w:pPr>
            <w:r w:rsidRPr="00CC39ED">
              <w:rPr>
                <w:rFonts w:ascii="Arial" w:hAnsi="Arial" w:cs="Arial"/>
              </w:rPr>
              <w:t>2.7%</w:t>
            </w:r>
          </w:p>
        </w:tc>
        <w:tc>
          <w:tcPr>
            <w:tcW w:w="1701" w:type="dxa"/>
            <w:vAlign w:val="bottom"/>
          </w:tcPr>
          <w:p w:rsidR="0057092E" w:rsidRPr="00CC39ED" w:rsidRDefault="0057092E" w:rsidP="00613B7A">
            <w:pPr>
              <w:jc w:val="center"/>
              <w:rPr>
                <w:rFonts w:ascii="Arial" w:hAnsi="Arial" w:cs="Arial"/>
              </w:rPr>
            </w:pPr>
            <w:r w:rsidRPr="00CC39ED">
              <w:rPr>
                <w:rFonts w:ascii="Arial" w:hAnsi="Arial" w:cs="Arial"/>
              </w:rPr>
              <w:t>3.1%</w:t>
            </w:r>
          </w:p>
        </w:tc>
        <w:tc>
          <w:tcPr>
            <w:tcW w:w="1701" w:type="dxa"/>
            <w:vAlign w:val="bottom"/>
          </w:tcPr>
          <w:p w:rsidR="0057092E" w:rsidRPr="00CC39ED" w:rsidRDefault="0057092E" w:rsidP="00613B7A">
            <w:pPr>
              <w:jc w:val="center"/>
              <w:rPr>
                <w:rFonts w:ascii="Arial" w:hAnsi="Arial" w:cs="Arial"/>
              </w:rPr>
            </w:pPr>
            <w:r w:rsidRPr="00CC39ED">
              <w:rPr>
                <w:rFonts w:ascii="Arial" w:hAnsi="Arial" w:cs="Arial"/>
              </w:rPr>
              <w:t>+0.4%</w:t>
            </w:r>
          </w:p>
        </w:tc>
      </w:tr>
      <w:tr w:rsidR="0057092E" w:rsidTr="00613B7A">
        <w:trPr>
          <w:trHeight w:val="454"/>
        </w:trPr>
        <w:tc>
          <w:tcPr>
            <w:tcW w:w="1984" w:type="dxa"/>
            <w:vAlign w:val="bottom"/>
          </w:tcPr>
          <w:p w:rsidR="0057092E" w:rsidRPr="00CC39ED" w:rsidRDefault="0057092E" w:rsidP="00613B7A">
            <w:pPr>
              <w:jc w:val="center"/>
              <w:rPr>
                <w:rFonts w:ascii="Arial" w:hAnsi="Arial" w:cs="Arial"/>
              </w:rPr>
            </w:pPr>
            <w:r w:rsidRPr="00CC39ED">
              <w:rPr>
                <w:rFonts w:ascii="Arial" w:hAnsi="Arial" w:cs="Arial"/>
              </w:rPr>
              <w:t>≥ 60 Jahre</w:t>
            </w:r>
          </w:p>
        </w:tc>
        <w:tc>
          <w:tcPr>
            <w:tcW w:w="1701" w:type="dxa"/>
            <w:vAlign w:val="bottom"/>
          </w:tcPr>
          <w:p w:rsidR="0057092E" w:rsidRPr="00CC39ED" w:rsidRDefault="0057092E" w:rsidP="00613B7A">
            <w:pPr>
              <w:jc w:val="center"/>
              <w:rPr>
                <w:rFonts w:ascii="Arial" w:hAnsi="Arial" w:cs="Arial"/>
              </w:rPr>
            </w:pPr>
            <w:r w:rsidRPr="00CC39ED">
              <w:rPr>
                <w:rFonts w:ascii="Arial" w:hAnsi="Arial" w:cs="Arial"/>
              </w:rPr>
              <w:t>2.4%</w:t>
            </w:r>
          </w:p>
        </w:tc>
        <w:tc>
          <w:tcPr>
            <w:tcW w:w="1701" w:type="dxa"/>
            <w:vAlign w:val="bottom"/>
          </w:tcPr>
          <w:p w:rsidR="0057092E" w:rsidRPr="00CC39ED" w:rsidRDefault="0057092E" w:rsidP="00613B7A">
            <w:pPr>
              <w:jc w:val="center"/>
              <w:rPr>
                <w:rFonts w:ascii="Arial" w:hAnsi="Arial" w:cs="Arial"/>
              </w:rPr>
            </w:pPr>
            <w:r w:rsidRPr="00CC39ED">
              <w:rPr>
                <w:rFonts w:ascii="Arial" w:hAnsi="Arial" w:cs="Arial"/>
              </w:rPr>
              <w:t>2.6%</w:t>
            </w:r>
          </w:p>
        </w:tc>
        <w:tc>
          <w:tcPr>
            <w:tcW w:w="1701" w:type="dxa"/>
            <w:vAlign w:val="bottom"/>
          </w:tcPr>
          <w:p w:rsidR="0057092E" w:rsidRPr="00CC39ED" w:rsidRDefault="0057092E" w:rsidP="00613B7A">
            <w:pPr>
              <w:jc w:val="center"/>
              <w:rPr>
                <w:rFonts w:ascii="Arial" w:hAnsi="Arial" w:cs="Arial"/>
              </w:rPr>
            </w:pPr>
            <w:r w:rsidRPr="00CC39ED">
              <w:rPr>
                <w:rFonts w:ascii="Arial" w:hAnsi="Arial" w:cs="Arial"/>
              </w:rPr>
              <w:t>+0.2%</w:t>
            </w:r>
          </w:p>
        </w:tc>
      </w:tr>
    </w:tbl>
    <w:p w:rsidR="0057092E" w:rsidRDefault="0057092E" w:rsidP="0057092E">
      <w:pPr>
        <w:spacing w:after="0" w:line="257" w:lineRule="auto"/>
        <w:rPr>
          <w:rFonts w:ascii="Arial" w:hAnsi="Arial" w:cs="Arial"/>
          <w:sz w:val="16"/>
        </w:rPr>
      </w:pPr>
      <w:r w:rsidRPr="00E46707">
        <w:rPr>
          <w:rFonts w:ascii="Arial" w:hAnsi="Arial" w:cs="Arial"/>
          <w:sz w:val="16"/>
        </w:rPr>
        <w:t xml:space="preserve">Quelle: </w:t>
      </w:r>
      <w:r>
        <w:rPr>
          <w:rFonts w:ascii="Arial" w:hAnsi="Arial" w:cs="Arial"/>
          <w:sz w:val="16"/>
        </w:rPr>
        <w:t>AMSTAT; eigene Berechnung</w:t>
      </w:r>
      <w:r w:rsidR="00CC39ED">
        <w:rPr>
          <w:rFonts w:ascii="Arial" w:hAnsi="Arial" w:cs="Arial"/>
          <w:sz w:val="16"/>
        </w:rPr>
        <w:t xml:space="preserve"> Travail.Suisse</w:t>
      </w:r>
    </w:p>
    <w:p w:rsidR="0057092E" w:rsidRDefault="0057092E" w:rsidP="0057092E">
      <w:pPr>
        <w:spacing w:after="0" w:line="257" w:lineRule="auto"/>
        <w:rPr>
          <w:rFonts w:ascii="Arial" w:hAnsi="Arial" w:cs="Arial"/>
          <w:sz w:val="16"/>
        </w:rPr>
      </w:pPr>
    </w:p>
    <w:p w:rsidR="0057092E" w:rsidRPr="007D4C3A" w:rsidRDefault="0057092E" w:rsidP="0057092E">
      <w:pPr>
        <w:spacing w:after="0" w:line="257" w:lineRule="auto"/>
        <w:rPr>
          <w:rFonts w:ascii="Arial" w:hAnsi="Arial" w:cs="Arial"/>
          <w:sz w:val="16"/>
        </w:rPr>
      </w:pPr>
    </w:p>
    <w:p w:rsidR="0057092E" w:rsidRDefault="0057092E" w:rsidP="00CC39ED">
      <w:pPr>
        <w:spacing w:after="0" w:line="300" w:lineRule="exact"/>
        <w:rPr>
          <w:rFonts w:ascii="Arial" w:hAnsi="Arial" w:cs="Arial"/>
          <w:sz w:val="20"/>
        </w:rPr>
      </w:pPr>
      <w:r w:rsidRPr="0085302C">
        <w:rPr>
          <w:rFonts w:ascii="Arial" w:hAnsi="Arial" w:cs="Arial"/>
          <w:sz w:val="20"/>
        </w:rPr>
        <w:t xml:space="preserve">Auch das sehr erfolgreiche </w:t>
      </w:r>
      <w:r w:rsidRPr="0085302C">
        <w:rPr>
          <w:rFonts w:ascii="Arial" w:hAnsi="Arial" w:cs="Arial"/>
          <w:b/>
          <w:sz w:val="20"/>
        </w:rPr>
        <w:t>erste Quartal 2018</w:t>
      </w:r>
      <w:r w:rsidRPr="0085302C">
        <w:rPr>
          <w:rFonts w:ascii="Arial" w:hAnsi="Arial" w:cs="Arial"/>
          <w:sz w:val="20"/>
        </w:rPr>
        <w:t xml:space="preserve"> bestätigt dieses Bild. Während </w:t>
      </w:r>
      <w:r w:rsidR="001E619A">
        <w:rPr>
          <w:rFonts w:ascii="Arial" w:hAnsi="Arial" w:cs="Arial"/>
          <w:sz w:val="20"/>
        </w:rPr>
        <w:t xml:space="preserve">sich </w:t>
      </w:r>
      <w:r w:rsidRPr="0085302C">
        <w:rPr>
          <w:rFonts w:ascii="Arial" w:hAnsi="Arial" w:cs="Arial"/>
          <w:sz w:val="20"/>
        </w:rPr>
        <w:t>das Total der Arbeitslose</w:t>
      </w:r>
      <w:r w:rsidR="001E619A">
        <w:rPr>
          <w:rFonts w:ascii="Arial" w:hAnsi="Arial" w:cs="Arial"/>
          <w:sz w:val="20"/>
        </w:rPr>
        <w:t>n</w:t>
      </w:r>
      <w:r>
        <w:rPr>
          <w:rFonts w:ascii="Arial" w:hAnsi="Arial" w:cs="Arial"/>
          <w:sz w:val="20"/>
        </w:rPr>
        <w:t xml:space="preserve"> </w:t>
      </w:r>
      <w:r w:rsidRPr="0085302C">
        <w:rPr>
          <w:rFonts w:ascii="Arial" w:hAnsi="Arial" w:cs="Arial"/>
          <w:sz w:val="20"/>
        </w:rPr>
        <w:t>gegenüber dem Vorjahr um 14.4% verringert hat, ist diese Abnahme sowohl bei den 50-54-jährigen (11.7%), als auch den 55-59-jährigen (8%) und den über 60-jährigen (2.7%) deutlich unterdurchschnittlich. Von der Entspannung am Arbeitsmarkt können also die älteren Arbeitnehmenden deutlich weniger profitieren als die übrigen Alterskategorien.</w:t>
      </w:r>
    </w:p>
    <w:p w:rsidR="0057092E" w:rsidRPr="0085302C" w:rsidRDefault="0057092E" w:rsidP="00CC39ED">
      <w:pPr>
        <w:spacing w:after="0" w:line="300" w:lineRule="exact"/>
        <w:rPr>
          <w:rFonts w:ascii="Arial" w:hAnsi="Arial" w:cs="Arial"/>
          <w:sz w:val="20"/>
        </w:rPr>
      </w:pPr>
    </w:p>
    <w:p w:rsidR="00CC39ED" w:rsidRDefault="0057092E" w:rsidP="00CC39ED">
      <w:pPr>
        <w:spacing w:after="0" w:line="300" w:lineRule="exact"/>
        <w:rPr>
          <w:rFonts w:ascii="Arial" w:hAnsi="Arial" w:cs="Arial"/>
          <w:sz w:val="20"/>
        </w:rPr>
      </w:pPr>
      <w:r w:rsidRPr="0085302C">
        <w:rPr>
          <w:rFonts w:ascii="Arial" w:hAnsi="Arial" w:cs="Arial"/>
          <w:sz w:val="20"/>
        </w:rPr>
        <w:t>Neben der Zunahme von älteren Personen in der Arbeitslosenversicherung lässt sich auch eine Zunahme in der Sozialhilfe beobachten (vgl. Grafik 2).</w:t>
      </w:r>
      <w:r w:rsidR="006D2B15">
        <w:rPr>
          <w:rFonts w:ascii="Arial" w:hAnsi="Arial" w:cs="Arial"/>
          <w:sz w:val="20"/>
        </w:rPr>
        <w:t xml:space="preserve"> Wer nach </w:t>
      </w:r>
      <w:r w:rsidR="006D2B15" w:rsidRPr="006D2B15">
        <w:rPr>
          <w:rFonts w:ascii="Arial" w:hAnsi="Arial" w:cs="Arial"/>
          <w:sz w:val="20"/>
        </w:rPr>
        <w:t xml:space="preserve">dem Wegfall des Taggeld-Anspruchs seine Existenz nicht mehr selbst sicherstellen kann und deshalb gezwungen ist, wirtschaftliche Sozialhilfe zu beantragen, kommt in eine schwierige Situation. </w:t>
      </w:r>
      <w:r w:rsidR="006D2B15" w:rsidRPr="00CC39ED">
        <w:rPr>
          <w:rFonts w:ascii="Arial" w:hAnsi="Arial" w:cs="Arial"/>
          <w:sz w:val="20"/>
        </w:rPr>
        <w:t xml:space="preserve">Die finanziellen und sozialen Auswirkungen einer Aussteuerung sind für die Betroffenen gravierend. </w:t>
      </w:r>
    </w:p>
    <w:p w:rsidR="006D2B15" w:rsidRPr="0085302C" w:rsidRDefault="006D2B15" w:rsidP="00CC39ED">
      <w:pPr>
        <w:spacing w:after="0" w:line="300" w:lineRule="exact"/>
        <w:rPr>
          <w:rFonts w:ascii="Arial" w:hAnsi="Arial" w:cs="Arial"/>
          <w:sz w:val="20"/>
        </w:rPr>
      </w:pPr>
    </w:p>
    <w:p w:rsidR="0057092E" w:rsidRPr="00DA72C8" w:rsidRDefault="0057092E" w:rsidP="0057092E">
      <w:pPr>
        <w:spacing w:after="0" w:line="257" w:lineRule="auto"/>
        <w:rPr>
          <w:b/>
          <w:i/>
        </w:rPr>
      </w:pPr>
      <w:r w:rsidRPr="00DA72C8">
        <w:rPr>
          <w:b/>
          <w:i/>
        </w:rPr>
        <w:t>Grafik 2: Veränderung der Sozialhilfequoten nach Alter 2005-2016</w:t>
      </w:r>
    </w:p>
    <w:p w:rsidR="0057092E" w:rsidRDefault="0057092E" w:rsidP="0057092E">
      <w:pPr>
        <w:spacing w:after="0" w:line="257" w:lineRule="auto"/>
      </w:pPr>
      <w:r>
        <w:rPr>
          <w:noProof/>
          <w:lang w:eastAsia="de-CH"/>
        </w:rPr>
        <w:drawing>
          <wp:inline distT="0" distB="0" distL="0" distR="0" wp14:anchorId="15E07DCA" wp14:editId="604660BC">
            <wp:extent cx="5220000" cy="2520000"/>
            <wp:effectExtent l="0" t="0" r="0" b="1397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092E" w:rsidRDefault="0057092E" w:rsidP="0057092E">
      <w:pPr>
        <w:spacing w:after="0" w:line="257" w:lineRule="auto"/>
        <w:rPr>
          <w:rFonts w:ascii="Arial" w:hAnsi="Arial" w:cs="Arial"/>
          <w:sz w:val="16"/>
        </w:rPr>
      </w:pPr>
      <w:r>
        <w:rPr>
          <w:rFonts w:ascii="Arial" w:hAnsi="Arial" w:cs="Arial"/>
          <w:sz w:val="16"/>
        </w:rPr>
        <w:t>Quelle: BFS, Sozialhilfestatisti</w:t>
      </w:r>
      <w:r w:rsidRPr="004B7854">
        <w:rPr>
          <w:rFonts w:ascii="Arial" w:hAnsi="Arial" w:cs="Arial"/>
          <w:sz w:val="16"/>
        </w:rPr>
        <w:t>k</w:t>
      </w:r>
      <w:r>
        <w:rPr>
          <w:rFonts w:ascii="Arial" w:hAnsi="Arial" w:cs="Arial"/>
          <w:sz w:val="16"/>
        </w:rPr>
        <w:t>; eigene Berechnung</w:t>
      </w:r>
      <w:r w:rsidR="00CC39ED">
        <w:rPr>
          <w:rFonts w:ascii="Arial" w:hAnsi="Arial" w:cs="Arial"/>
          <w:sz w:val="16"/>
        </w:rPr>
        <w:t xml:space="preserve"> Travail.Suisse</w:t>
      </w:r>
    </w:p>
    <w:p w:rsidR="0057092E" w:rsidRDefault="0057092E" w:rsidP="0057092E">
      <w:pPr>
        <w:spacing w:after="0" w:line="257" w:lineRule="auto"/>
        <w:rPr>
          <w:rFonts w:ascii="Arial" w:hAnsi="Arial" w:cs="Arial"/>
          <w:sz w:val="16"/>
        </w:rPr>
      </w:pPr>
    </w:p>
    <w:p w:rsidR="0057092E" w:rsidRPr="004B7854" w:rsidRDefault="0057092E" w:rsidP="00CC39ED">
      <w:pPr>
        <w:spacing w:after="0" w:line="300" w:lineRule="exact"/>
        <w:rPr>
          <w:rFonts w:ascii="Arial" w:hAnsi="Arial" w:cs="Arial"/>
          <w:sz w:val="16"/>
        </w:rPr>
      </w:pPr>
    </w:p>
    <w:p w:rsidR="0057092E" w:rsidRDefault="0057092E" w:rsidP="00CC39ED">
      <w:pPr>
        <w:spacing w:after="0" w:line="300" w:lineRule="exact"/>
        <w:rPr>
          <w:rFonts w:ascii="Arial" w:hAnsi="Arial" w:cs="Arial"/>
          <w:sz w:val="20"/>
        </w:rPr>
      </w:pPr>
      <w:r w:rsidRPr="0085302C">
        <w:rPr>
          <w:rFonts w:ascii="Arial" w:hAnsi="Arial" w:cs="Arial"/>
          <w:sz w:val="20"/>
        </w:rPr>
        <w:t>Während sich für die meisten Alterskategorien über die letzten rund 10 Jahre konstante oder nur leicht steigende Sozialhilfequoten feststellen lassen,</w:t>
      </w:r>
      <w:r>
        <w:rPr>
          <w:rFonts w:ascii="Arial" w:hAnsi="Arial" w:cs="Arial"/>
          <w:sz w:val="20"/>
        </w:rPr>
        <w:t xml:space="preserve"> ist die Zunahme bei den 56-64-J</w:t>
      </w:r>
      <w:r w:rsidRPr="0085302C">
        <w:rPr>
          <w:rFonts w:ascii="Arial" w:hAnsi="Arial" w:cs="Arial"/>
          <w:sz w:val="20"/>
        </w:rPr>
        <w:t xml:space="preserve">ährigen frappant. </w:t>
      </w:r>
      <w:r w:rsidRPr="0085302C">
        <w:rPr>
          <w:rFonts w:ascii="Arial" w:hAnsi="Arial" w:cs="Arial"/>
          <w:sz w:val="20"/>
        </w:rPr>
        <w:lastRenderedPageBreak/>
        <w:t>Insbesondere seit 2011 steigt die Sozialhilfequote bei den älteren Personen stark überdurchschnittlich. Insgesamt hat sich die Zahl der sozialhilfebeziehenden 56-64-Jährigen in den letzten 10 Jahren auf über 30‘000 Personen verdoppelt.</w:t>
      </w:r>
    </w:p>
    <w:p w:rsidR="0057092E" w:rsidRPr="0085302C" w:rsidRDefault="0057092E" w:rsidP="00CC39ED">
      <w:pPr>
        <w:spacing w:after="0" w:line="300" w:lineRule="exact"/>
        <w:rPr>
          <w:rFonts w:ascii="Arial" w:hAnsi="Arial" w:cs="Arial"/>
          <w:sz w:val="20"/>
        </w:rPr>
      </w:pPr>
    </w:p>
    <w:p w:rsidR="0057092E" w:rsidRDefault="0057092E" w:rsidP="006D2B15">
      <w:pPr>
        <w:spacing w:after="0" w:line="300" w:lineRule="exact"/>
        <w:rPr>
          <w:rFonts w:ascii="Arial" w:hAnsi="Arial" w:cs="Arial"/>
          <w:sz w:val="20"/>
        </w:rPr>
      </w:pPr>
      <w:r w:rsidRPr="0085302C">
        <w:rPr>
          <w:rFonts w:ascii="Arial" w:hAnsi="Arial" w:cs="Arial"/>
          <w:sz w:val="20"/>
        </w:rPr>
        <w:t xml:space="preserve">Auch aus dem </w:t>
      </w:r>
      <w:r w:rsidRPr="006D2B15">
        <w:rPr>
          <w:rFonts w:ascii="Arial" w:hAnsi="Arial" w:cs="Arial"/>
          <w:sz w:val="20"/>
        </w:rPr>
        <w:t xml:space="preserve">«Barometer Gute Arbeit» </w:t>
      </w:r>
      <w:r w:rsidRPr="0085302C">
        <w:rPr>
          <w:rFonts w:ascii="Arial" w:hAnsi="Arial" w:cs="Arial"/>
          <w:sz w:val="20"/>
        </w:rPr>
        <w:t>von Travail.Suisse</w:t>
      </w:r>
      <w:r>
        <w:rPr>
          <w:rFonts w:ascii="Arial" w:hAnsi="Arial" w:cs="Arial"/>
          <w:sz w:val="20"/>
        </w:rPr>
        <w:t xml:space="preserve"> sind Anhaltspunkte für Probleme der</w:t>
      </w:r>
      <w:r w:rsidRPr="0085302C">
        <w:rPr>
          <w:rFonts w:ascii="Arial" w:hAnsi="Arial" w:cs="Arial"/>
          <w:sz w:val="20"/>
        </w:rPr>
        <w:t xml:space="preserve"> ältere</w:t>
      </w:r>
      <w:r>
        <w:rPr>
          <w:rFonts w:ascii="Arial" w:hAnsi="Arial" w:cs="Arial"/>
          <w:sz w:val="20"/>
        </w:rPr>
        <w:t>n</w:t>
      </w:r>
      <w:r w:rsidRPr="0085302C">
        <w:rPr>
          <w:rFonts w:ascii="Arial" w:hAnsi="Arial" w:cs="Arial"/>
          <w:sz w:val="20"/>
        </w:rPr>
        <w:t xml:space="preserve"> Arbeitnehmende</w:t>
      </w:r>
      <w:r>
        <w:rPr>
          <w:rFonts w:ascii="Arial" w:hAnsi="Arial" w:cs="Arial"/>
          <w:sz w:val="20"/>
        </w:rPr>
        <w:t>n</w:t>
      </w:r>
      <w:r w:rsidR="001E619A">
        <w:rPr>
          <w:rFonts w:ascii="Arial" w:hAnsi="Arial" w:cs="Arial"/>
          <w:sz w:val="20"/>
        </w:rPr>
        <w:t xml:space="preserve"> ersichtlich:</w:t>
      </w:r>
      <w:r w:rsidRPr="0085302C">
        <w:rPr>
          <w:rFonts w:ascii="Arial" w:hAnsi="Arial" w:cs="Arial"/>
          <w:sz w:val="20"/>
        </w:rPr>
        <w:t xml:space="preserve"> Insbesondere nehmen ältere Arbeitnehmenden ihre Arbeitsmarktfähigkeit im Vergleich mit den jüngeren Kolleg</w:t>
      </w:r>
      <w:r w:rsidR="001E619A">
        <w:rPr>
          <w:rFonts w:ascii="Arial" w:hAnsi="Arial" w:cs="Arial"/>
          <w:sz w:val="20"/>
        </w:rPr>
        <w:t>/-i</w:t>
      </w:r>
      <w:r w:rsidRPr="0085302C">
        <w:rPr>
          <w:rFonts w:ascii="Arial" w:hAnsi="Arial" w:cs="Arial"/>
          <w:sz w:val="20"/>
        </w:rPr>
        <w:t xml:space="preserve">nnen deutlich eingeschränkter wahr. Konkret steigt der Anteil der Arbeitnehmenden, </w:t>
      </w:r>
      <w:r w:rsidR="001E619A">
        <w:rPr>
          <w:rFonts w:ascii="Arial" w:hAnsi="Arial" w:cs="Arial"/>
          <w:sz w:val="20"/>
        </w:rPr>
        <w:t>der</w:t>
      </w:r>
      <w:r w:rsidRPr="0085302C">
        <w:rPr>
          <w:rFonts w:ascii="Arial" w:hAnsi="Arial" w:cs="Arial"/>
          <w:sz w:val="20"/>
        </w:rPr>
        <w:t xml:space="preserve"> bei einem freiwilligen oder unfreiwilligen Arbeitsplatzverlust nicht oder kaum daran glaubt wieder eine vergleichbare Stelle zu finden </w:t>
      </w:r>
      <w:r>
        <w:rPr>
          <w:rFonts w:ascii="Arial" w:hAnsi="Arial" w:cs="Arial"/>
          <w:sz w:val="20"/>
        </w:rPr>
        <w:t>mit zunehmenden Alter markant an</w:t>
      </w:r>
      <w:r w:rsidRPr="0085302C">
        <w:rPr>
          <w:rFonts w:ascii="Arial" w:hAnsi="Arial" w:cs="Arial"/>
          <w:sz w:val="20"/>
        </w:rPr>
        <w:t xml:space="preserve"> (vgl. Grafik 3).</w:t>
      </w:r>
    </w:p>
    <w:p w:rsidR="006D2B15" w:rsidRPr="0085302C" w:rsidRDefault="006D2B15" w:rsidP="006D2B15">
      <w:pPr>
        <w:spacing w:after="0" w:line="300" w:lineRule="exact"/>
        <w:rPr>
          <w:rFonts w:ascii="Arial" w:hAnsi="Arial" w:cs="Arial"/>
          <w:sz w:val="20"/>
        </w:rPr>
      </w:pPr>
    </w:p>
    <w:p w:rsidR="0057092E" w:rsidRPr="0085302C" w:rsidRDefault="0057092E" w:rsidP="0057092E">
      <w:pPr>
        <w:spacing w:after="0" w:line="257" w:lineRule="auto"/>
        <w:rPr>
          <w:rFonts w:ascii="Arial" w:hAnsi="Arial" w:cs="Arial"/>
          <w:b/>
          <w:i/>
          <w:sz w:val="20"/>
        </w:rPr>
      </w:pPr>
      <w:r w:rsidRPr="0085302C">
        <w:rPr>
          <w:rFonts w:ascii="Arial" w:hAnsi="Arial" w:cs="Arial"/>
          <w:b/>
          <w:i/>
          <w:sz w:val="20"/>
        </w:rPr>
        <w:t xml:space="preserve">Grafik 3: Wahrgenommene Einschränkungen der Arbeitsmarktfähigkeit nach Alter 2015-2017 </w:t>
      </w:r>
    </w:p>
    <w:p w:rsidR="0057092E" w:rsidRDefault="0057092E" w:rsidP="0057092E">
      <w:pPr>
        <w:spacing w:after="0" w:line="257" w:lineRule="auto"/>
      </w:pPr>
      <w:r>
        <w:rPr>
          <w:noProof/>
          <w:lang w:eastAsia="de-CH"/>
        </w:rPr>
        <w:drawing>
          <wp:inline distT="0" distB="0" distL="0" distR="0" wp14:anchorId="06F9E88A" wp14:editId="3C5A9A40">
            <wp:extent cx="5220000" cy="2520000"/>
            <wp:effectExtent l="0" t="0" r="0" b="1397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092E" w:rsidRDefault="0057092E" w:rsidP="0057092E">
      <w:pPr>
        <w:spacing w:after="0" w:line="257" w:lineRule="auto"/>
        <w:rPr>
          <w:rFonts w:ascii="Arial" w:hAnsi="Arial" w:cs="Arial"/>
          <w:sz w:val="16"/>
        </w:rPr>
      </w:pPr>
      <w:r>
        <w:rPr>
          <w:rFonts w:ascii="Arial" w:hAnsi="Arial" w:cs="Arial"/>
          <w:sz w:val="16"/>
        </w:rPr>
        <w:t xml:space="preserve">Quelle: Berner Fachhochschule, Travail.Suisse, </w:t>
      </w:r>
      <w:r w:rsidRPr="004B7854">
        <w:rPr>
          <w:rFonts w:ascii="Times New Roman" w:hAnsi="Times New Roman" w:cs="Times New Roman"/>
          <w:i/>
          <w:sz w:val="16"/>
        </w:rPr>
        <w:t>«</w:t>
      </w:r>
      <w:r w:rsidRPr="004B7854">
        <w:rPr>
          <w:rFonts w:ascii="Arial" w:hAnsi="Arial" w:cs="Arial"/>
          <w:i/>
          <w:sz w:val="16"/>
        </w:rPr>
        <w:t>Barometer Gute Arbeit</w:t>
      </w:r>
      <w:r w:rsidRPr="004B7854">
        <w:rPr>
          <w:rFonts w:ascii="Times New Roman" w:hAnsi="Times New Roman" w:cs="Times New Roman"/>
          <w:i/>
          <w:sz w:val="16"/>
        </w:rPr>
        <w:t>»</w:t>
      </w:r>
    </w:p>
    <w:p w:rsidR="0057092E" w:rsidRDefault="0057092E" w:rsidP="0057092E">
      <w:pPr>
        <w:spacing w:after="0" w:line="257" w:lineRule="auto"/>
        <w:rPr>
          <w:rFonts w:ascii="Arial" w:hAnsi="Arial" w:cs="Arial"/>
          <w:sz w:val="16"/>
        </w:rPr>
      </w:pPr>
    </w:p>
    <w:p w:rsidR="0057092E" w:rsidRPr="004B7854" w:rsidRDefault="0057092E" w:rsidP="0057092E">
      <w:pPr>
        <w:spacing w:after="0" w:line="257" w:lineRule="auto"/>
        <w:rPr>
          <w:rFonts w:ascii="Arial" w:hAnsi="Arial" w:cs="Arial"/>
          <w:sz w:val="16"/>
        </w:rPr>
      </w:pPr>
    </w:p>
    <w:p w:rsidR="0057092E" w:rsidRDefault="0057092E" w:rsidP="009237AB">
      <w:pPr>
        <w:spacing w:after="0" w:line="300" w:lineRule="exact"/>
        <w:rPr>
          <w:rFonts w:ascii="Arial" w:hAnsi="Arial" w:cs="Arial"/>
          <w:sz w:val="20"/>
        </w:rPr>
      </w:pPr>
      <w:r w:rsidRPr="0085302C">
        <w:rPr>
          <w:rFonts w:ascii="Arial" w:hAnsi="Arial" w:cs="Arial"/>
          <w:sz w:val="20"/>
        </w:rPr>
        <w:t>Während bei den 16-29 Jährigen jeder Dritte und bei den 30-45 Jährigen knapp die Hälfte mit entsprechenden Schwierigkeiten rechnet, glauben bei den 46-65 Jährigen rund zwei Drittel nicht oder kaum daran bei Stellenverlust wieder eine vergleichbare Stelle zu finden. Auffällig ist weiter, dass der Anteil der Arbeitnehmenden mit eingeschränkter Arbeitsmarktmobilität bei den beiden jüngeren Alterskategorien zwischen 2015 und 2017 stabil geblieben ist, derjenige der älteren</w:t>
      </w:r>
      <w:r w:rsidR="009237AB">
        <w:rPr>
          <w:rFonts w:ascii="Arial" w:hAnsi="Arial" w:cs="Arial"/>
          <w:sz w:val="20"/>
        </w:rPr>
        <w:t xml:space="preserve"> Arbeitnehmenden um weitere 4.3</w:t>
      </w:r>
      <w:r w:rsidRPr="0085302C">
        <w:rPr>
          <w:rFonts w:ascii="Arial" w:hAnsi="Arial" w:cs="Arial"/>
          <w:sz w:val="20"/>
        </w:rPr>
        <w:t>% zugenommen hat.</w:t>
      </w:r>
    </w:p>
    <w:p w:rsidR="006D2B15" w:rsidRDefault="006D2B15" w:rsidP="009237AB">
      <w:pPr>
        <w:spacing w:after="0" w:line="300" w:lineRule="exact"/>
        <w:rPr>
          <w:rFonts w:ascii="Arial" w:hAnsi="Arial" w:cs="Arial"/>
          <w:sz w:val="20"/>
        </w:rPr>
      </w:pPr>
    </w:p>
    <w:p w:rsidR="009237AB" w:rsidRDefault="009237AB" w:rsidP="009237AB">
      <w:pPr>
        <w:spacing w:after="0" w:line="300" w:lineRule="exact"/>
        <w:rPr>
          <w:rFonts w:ascii="Arial" w:hAnsi="Arial" w:cs="Arial"/>
          <w:sz w:val="20"/>
        </w:rPr>
      </w:pPr>
    </w:p>
    <w:p w:rsidR="006D2B15" w:rsidRDefault="006D2B15" w:rsidP="009237AB">
      <w:pPr>
        <w:spacing w:after="0" w:line="300" w:lineRule="exact"/>
        <w:rPr>
          <w:rFonts w:ascii="Arial" w:hAnsi="Arial" w:cs="Arial"/>
          <w:b/>
          <w:sz w:val="20"/>
        </w:rPr>
      </w:pPr>
      <w:r w:rsidRPr="00242D60">
        <w:rPr>
          <w:rFonts w:ascii="Arial" w:hAnsi="Arial" w:cs="Arial"/>
          <w:b/>
          <w:sz w:val="20"/>
        </w:rPr>
        <w:t xml:space="preserve">Massnahmen </w:t>
      </w:r>
      <w:r w:rsidR="009237AB">
        <w:rPr>
          <w:rFonts w:ascii="Arial" w:hAnsi="Arial" w:cs="Arial"/>
          <w:b/>
          <w:sz w:val="20"/>
        </w:rPr>
        <w:t xml:space="preserve">sind nötig, </w:t>
      </w:r>
      <w:r w:rsidR="0067127E">
        <w:rPr>
          <w:rFonts w:ascii="Arial" w:hAnsi="Arial" w:cs="Arial"/>
          <w:b/>
          <w:sz w:val="20"/>
        </w:rPr>
        <w:t>um Aussteuerungen zu verhindern</w:t>
      </w:r>
    </w:p>
    <w:p w:rsidR="009237AB" w:rsidRPr="00242D60" w:rsidRDefault="009237AB" w:rsidP="009237AB">
      <w:pPr>
        <w:spacing w:after="0" w:line="300" w:lineRule="exact"/>
        <w:rPr>
          <w:rFonts w:ascii="Arial" w:hAnsi="Arial" w:cs="Arial"/>
          <w:b/>
          <w:sz w:val="20"/>
        </w:rPr>
      </w:pPr>
    </w:p>
    <w:p w:rsidR="006D2B15" w:rsidRDefault="007122DD" w:rsidP="00155A82">
      <w:pPr>
        <w:spacing w:after="0" w:line="300" w:lineRule="exact"/>
        <w:rPr>
          <w:rFonts w:ascii="Arial" w:hAnsi="Arial" w:cs="Arial"/>
          <w:sz w:val="20"/>
        </w:rPr>
      </w:pPr>
      <w:r>
        <w:rPr>
          <w:rFonts w:ascii="Arial" w:hAnsi="Arial" w:cs="Arial"/>
          <w:sz w:val="20"/>
        </w:rPr>
        <w:t>Die</w:t>
      </w:r>
      <w:r w:rsidR="006D2B15">
        <w:rPr>
          <w:rFonts w:ascii="Arial" w:hAnsi="Arial" w:cs="Arial"/>
          <w:sz w:val="20"/>
        </w:rPr>
        <w:t xml:space="preserve"> Analyse zeigt, dass angesichts der verbesserten Situation auf dem Arbeitsmarkt für die älteren Arbeitnehmende grosse Herausforderungen zu meistern sind. Wichtig ist </w:t>
      </w:r>
      <w:r>
        <w:rPr>
          <w:rFonts w:ascii="Arial" w:hAnsi="Arial" w:cs="Arial"/>
          <w:sz w:val="20"/>
        </w:rPr>
        <w:t xml:space="preserve">es, </w:t>
      </w:r>
      <w:r w:rsidR="006D2B15">
        <w:rPr>
          <w:rFonts w:ascii="Arial" w:hAnsi="Arial" w:cs="Arial"/>
          <w:sz w:val="20"/>
        </w:rPr>
        <w:t xml:space="preserve">konkrete Verbesserungen anzugehen. An der Konferenz wurde beschlossen in einer Arbeitsgruppe </w:t>
      </w:r>
      <w:r w:rsidR="00242D60">
        <w:rPr>
          <w:rFonts w:ascii="Arial" w:hAnsi="Arial" w:cs="Arial"/>
          <w:sz w:val="20"/>
        </w:rPr>
        <w:t>„Vorschläge zu prüfen, mit denen finanzielle und soziale Probleme durch drohende Aussteuerungen von älteren Arbeitnehmenden verhindert werden können.“</w:t>
      </w:r>
      <w:r w:rsidR="0067127E">
        <w:rPr>
          <w:rFonts w:ascii="Arial" w:hAnsi="Arial" w:cs="Arial"/>
          <w:sz w:val="20"/>
        </w:rPr>
        <w:t xml:space="preserve"> Es muss</w:t>
      </w:r>
      <w:r w:rsidR="00242D60">
        <w:rPr>
          <w:rFonts w:ascii="Arial" w:hAnsi="Arial" w:cs="Arial"/>
          <w:sz w:val="20"/>
        </w:rPr>
        <w:t xml:space="preserve"> verhinder</w:t>
      </w:r>
      <w:r w:rsidR="0067127E">
        <w:rPr>
          <w:rFonts w:ascii="Arial" w:hAnsi="Arial" w:cs="Arial"/>
          <w:sz w:val="20"/>
        </w:rPr>
        <w:t>t werde</w:t>
      </w:r>
      <w:r w:rsidR="00242D60">
        <w:rPr>
          <w:rFonts w:ascii="Arial" w:hAnsi="Arial" w:cs="Arial"/>
          <w:sz w:val="20"/>
        </w:rPr>
        <w:t xml:space="preserve">n, dass ältere </w:t>
      </w:r>
      <w:r>
        <w:rPr>
          <w:rFonts w:ascii="Arial" w:hAnsi="Arial" w:cs="Arial"/>
          <w:sz w:val="20"/>
        </w:rPr>
        <w:t xml:space="preserve">Arbeitnehmende </w:t>
      </w:r>
      <w:r w:rsidR="00242D60">
        <w:rPr>
          <w:rFonts w:ascii="Arial" w:hAnsi="Arial" w:cs="Arial"/>
          <w:sz w:val="20"/>
        </w:rPr>
        <w:t xml:space="preserve">kurz vor der Pension </w:t>
      </w:r>
      <w:r w:rsidR="0067127E">
        <w:rPr>
          <w:rFonts w:ascii="Arial" w:hAnsi="Arial" w:cs="Arial"/>
          <w:sz w:val="20"/>
        </w:rPr>
        <w:t xml:space="preserve">noch auf </w:t>
      </w:r>
      <w:r w:rsidR="00242D60">
        <w:rPr>
          <w:rFonts w:ascii="Arial" w:hAnsi="Arial" w:cs="Arial"/>
          <w:sz w:val="20"/>
        </w:rPr>
        <w:t xml:space="preserve">Sozialhilfe </w:t>
      </w:r>
      <w:r w:rsidR="0067127E">
        <w:rPr>
          <w:rFonts w:ascii="Arial" w:hAnsi="Arial" w:cs="Arial"/>
          <w:sz w:val="20"/>
        </w:rPr>
        <w:t>angewiesen sind</w:t>
      </w:r>
      <w:r w:rsidR="00242D60">
        <w:rPr>
          <w:rFonts w:ascii="Arial" w:hAnsi="Arial" w:cs="Arial"/>
          <w:sz w:val="20"/>
        </w:rPr>
        <w:t xml:space="preserve">. Für Travail.Suisse sind regelmässige Standortbestimmungen zwischen Arbeitgebenden und Arbeitnehmenden </w:t>
      </w:r>
      <w:r>
        <w:rPr>
          <w:rFonts w:ascii="Arial" w:hAnsi="Arial" w:cs="Arial"/>
          <w:sz w:val="20"/>
        </w:rPr>
        <w:t>zentral</w:t>
      </w:r>
      <w:r w:rsidR="00242D60">
        <w:rPr>
          <w:rFonts w:ascii="Arial" w:hAnsi="Arial" w:cs="Arial"/>
          <w:sz w:val="20"/>
        </w:rPr>
        <w:t xml:space="preserve">, um gemeinsam Weiterbildungen zu planen. Die Mitarbeitenden brauchen dafür Unterstützung, die Unternehmen müssen in die älteren Arbeitnehmenden investieren. Die Unternehmen können sich so einen Wettbewerbsvorteil schaffen. </w:t>
      </w:r>
      <w:r>
        <w:rPr>
          <w:rFonts w:ascii="Arial" w:hAnsi="Arial" w:cs="Arial"/>
          <w:sz w:val="20"/>
        </w:rPr>
        <w:t>Auch die</w:t>
      </w:r>
      <w:r w:rsidR="00242D60">
        <w:rPr>
          <w:rFonts w:ascii="Arial" w:hAnsi="Arial" w:cs="Arial"/>
          <w:sz w:val="20"/>
        </w:rPr>
        <w:t xml:space="preserve"> Berufs- und Laufbahnberatung für Erwachsene gerät </w:t>
      </w:r>
      <w:r w:rsidR="00242D60">
        <w:rPr>
          <w:rFonts w:ascii="Arial" w:hAnsi="Arial" w:cs="Arial"/>
          <w:sz w:val="20"/>
        </w:rPr>
        <w:lastRenderedPageBreak/>
        <w:t xml:space="preserve">dabei in den Fokus. Travail.Suisse unterstützt die Forderung von Profunda-Suisse, dass die Kantone Angebote für die Laufbahnberatung von älteren Arbeitnehmenden ausbauen sollen. Wer vom Arbeitgeber keine Unterstützung erhält, braucht sie von ausgewiesenen Fachleuten. </w:t>
      </w:r>
    </w:p>
    <w:p w:rsidR="0067127E" w:rsidRDefault="0067127E" w:rsidP="00155A82">
      <w:pPr>
        <w:spacing w:after="0" w:line="300" w:lineRule="exact"/>
        <w:rPr>
          <w:rFonts w:ascii="Arial" w:hAnsi="Arial" w:cs="Arial"/>
          <w:sz w:val="20"/>
        </w:rPr>
      </w:pPr>
    </w:p>
    <w:p w:rsidR="00155A82" w:rsidRDefault="00155A82" w:rsidP="00155A82">
      <w:pPr>
        <w:spacing w:after="0" w:line="300" w:lineRule="exact"/>
        <w:rPr>
          <w:rFonts w:ascii="Arial" w:hAnsi="Arial" w:cs="Arial"/>
          <w:sz w:val="20"/>
        </w:rPr>
      </w:pPr>
    </w:p>
    <w:p w:rsidR="0067127E" w:rsidRDefault="0067127E" w:rsidP="00155A82">
      <w:pPr>
        <w:spacing w:after="0" w:line="300" w:lineRule="exact"/>
        <w:rPr>
          <w:rFonts w:ascii="Arial" w:hAnsi="Arial" w:cs="Arial"/>
          <w:b/>
          <w:sz w:val="20"/>
        </w:rPr>
      </w:pPr>
      <w:r w:rsidRPr="0067127E">
        <w:rPr>
          <w:rFonts w:ascii="Arial" w:hAnsi="Arial" w:cs="Arial"/>
          <w:b/>
          <w:sz w:val="20"/>
        </w:rPr>
        <w:t>Travail.Suisse setzt sich weiter für ältere Arbeitnehmende ein</w:t>
      </w:r>
    </w:p>
    <w:p w:rsidR="00155A82" w:rsidRPr="0067127E" w:rsidRDefault="00155A82" w:rsidP="00155A82">
      <w:pPr>
        <w:spacing w:after="0" w:line="300" w:lineRule="exact"/>
        <w:rPr>
          <w:rFonts w:ascii="Arial" w:hAnsi="Arial" w:cs="Arial"/>
          <w:b/>
          <w:sz w:val="20"/>
        </w:rPr>
      </w:pPr>
    </w:p>
    <w:p w:rsidR="00CC39ED" w:rsidRPr="00CC39ED" w:rsidRDefault="00CC39ED" w:rsidP="00155A82">
      <w:pPr>
        <w:spacing w:after="0" w:line="300" w:lineRule="exact"/>
        <w:rPr>
          <w:rFonts w:ascii="Arial" w:hAnsi="Arial" w:cs="Arial"/>
          <w:sz w:val="20"/>
        </w:rPr>
      </w:pPr>
      <w:r w:rsidRPr="00CC39ED">
        <w:rPr>
          <w:rFonts w:ascii="Arial" w:hAnsi="Arial" w:cs="Arial"/>
          <w:sz w:val="20"/>
        </w:rPr>
        <w:t xml:space="preserve">Travail.Suisse hat mit dem Schweizerische Arbeitnehmer- und Arbeitslosenverband Save50Plus eine Zusammenarbeitsvereinbarung abgeschlossen, um </w:t>
      </w:r>
      <w:r w:rsidR="0067127E">
        <w:rPr>
          <w:rFonts w:ascii="Arial" w:hAnsi="Arial" w:cs="Arial"/>
          <w:sz w:val="20"/>
        </w:rPr>
        <w:t>gemeinsam politische Massnahmen zu verfolgen</w:t>
      </w:r>
      <w:r w:rsidRPr="00CC39ED">
        <w:rPr>
          <w:rFonts w:ascii="Arial" w:hAnsi="Arial" w:cs="Arial"/>
          <w:sz w:val="20"/>
        </w:rPr>
        <w:t>.</w:t>
      </w:r>
      <w:r w:rsidR="0067127E">
        <w:rPr>
          <w:rFonts w:ascii="Arial" w:hAnsi="Arial" w:cs="Arial"/>
          <w:sz w:val="20"/>
        </w:rPr>
        <w:t xml:space="preserve"> Im kommenden Jahr </w:t>
      </w:r>
      <w:r w:rsidR="00155A82">
        <w:rPr>
          <w:rFonts w:ascii="Arial" w:hAnsi="Arial" w:cs="Arial"/>
          <w:sz w:val="20"/>
        </w:rPr>
        <w:t>werden</w:t>
      </w:r>
      <w:r w:rsidR="0067127E">
        <w:rPr>
          <w:rFonts w:ascii="Arial" w:hAnsi="Arial" w:cs="Arial"/>
          <w:sz w:val="20"/>
        </w:rPr>
        <w:t xml:space="preserve"> weitere Massnahmen geprüft, um die Situation der älteren Arbeitnehmenden zu verbessern und den richtige</w:t>
      </w:r>
      <w:r w:rsidR="00155A82">
        <w:rPr>
          <w:rFonts w:ascii="Arial" w:hAnsi="Arial" w:cs="Arial"/>
          <w:sz w:val="20"/>
        </w:rPr>
        <w:t>n Umgang mit den älteren Arbeit</w:t>
      </w:r>
      <w:r w:rsidR="0067127E">
        <w:rPr>
          <w:rFonts w:ascii="Arial" w:hAnsi="Arial" w:cs="Arial"/>
          <w:sz w:val="20"/>
        </w:rPr>
        <w:t>nehm</w:t>
      </w:r>
      <w:r w:rsidR="00155A82">
        <w:rPr>
          <w:rFonts w:ascii="Arial" w:hAnsi="Arial" w:cs="Arial"/>
          <w:sz w:val="20"/>
        </w:rPr>
        <w:t>en</w:t>
      </w:r>
      <w:r w:rsidR="0067127E">
        <w:rPr>
          <w:rFonts w:ascii="Arial" w:hAnsi="Arial" w:cs="Arial"/>
          <w:sz w:val="20"/>
        </w:rPr>
        <w:t xml:space="preserve">den in den Unternehmen zu fördern. </w:t>
      </w:r>
    </w:p>
    <w:p w:rsidR="008D45B1" w:rsidRDefault="008D45B1" w:rsidP="0067127E">
      <w:pPr>
        <w:spacing w:line="300" w:lineRule="exact"/>
        <w:rPr>
          <w:rFonts w:ascii="Arial" w:hAnsi="Arial" w:cs="Arial"/>
          <w:sz w:val="20"/>
        </w:rPr>
      </w:pPr>
    </w:p>
    <w:p w:rsidR="00BE1C5A" w:rsidRDefault="00BE1C5A" w:rsidP="0067127E">
      <w:pPr>
        <w:spacing w:line="300" w:lineRule="exact"/>
        <w:rPr>
          <w:rFonts w:ascii="Arial" w:hAnsi="Arial" w:cs="Arial"/>
          <w:sz w:val="20"/>
        </w:rPr>
      </w:pPr>
    </w:p>
    <w:p w:rsidR="00BE1C5A" w:rsidRDefault="00BE1C5A" w:rsidP="0067127E">
      <w:pPr>
        <w:spacing w:line="300" w:lineRule="exact"/>
        <w:rPr>
          <w:rFonts w:ascii="Arial" w:hAnsi="Arial" w:cs="Arial"/>
          <w:sz w:val="20"/>
        </w:rPr>
      </w:pPr>
    </w:p>
    <w:p w:rsidR="00BE1C5A" w:rsidRDefault="00BE1C5A" w:rsidP="0067127E">
      <w:pPr>
        <w:spacing w:line="300" w:lineRule="exact"/>
        <w:rPr>
          <w:rFonts w:ascii="Arial" w:hAnsi="Arial" w:cs="Arial"/>
          <w:sz w:val="20"/>
        </w:rPr>
      </w:pPr>
    </w:p>
    <w:p w:rsidR="00BE1C5A" w:rsidRDefault="00BE1C5A" w:rsidP="0067127E">
      <w:pPr>
        <w:spacing w:line="300" w:lineRule="exact"/>
        <w:rPr>
          <w:rFonts w:ascii="Arial" w:hAnsi="Arial" w:cs="Arial"/>
          <w:sz w:val="20"/>
        </w:rPr>
      </w:pPr>
    </w:p>
    <w:p w:rsidR="00BE1C5A" w:rsidRDefault="00BE1C5A" w:rsidP="0067127E">
      <w:pPr>
        <w:spacing w:line="300" w:lineRule="exact"/>
        <w:rPr>
          <w:rFonts w:ascii="Arial" w:hAnsi="Arial" w:cs="Arial"/>
          <w:sz w:val="20"/>
        </w:rPr>
      </w:pPr>
    </w:p>
    <w:p w:rsidR="00BE1C5A" w:rsidRDefault="00BE1C5A" w:rsidP="0067127E">
      <w:pPr>
        <w:spacing w:line="300" w:lineRule="exact"/>
        <w:rPr>
          <w:rFonts w:ascii="Arial" w:hAnsi="Arial" w:cs="Arial"/>
          <w:sz w:val="20"/>
        </w:rPr>
      </w:pPr>
    </w:p>
    <w:p w:rsidR="00BE1C5A" w:rsidRDefault="00BE1C5A" w:rsidP="0067127E">
      <w:pPr>
        <w:spacing w:line="300" w:lineRule="exact"/>
        <w:rPr>
          <w:rFonts w:ascii="Arial" w:hAnsi="Arial" w:cs="Arial"/>
          <w:sz w:val="20"/>
        </w:rPr>
      </w:pPr>
    </w:p>
    <w:p w:rsidR="00BE1C5A" w:rsidRDefault="00BE1C5A" w:rsidP="0067127E">
      <w:pPr>
        <w:spacing w:line="300" w:lineRule="exact"/>
        <w:rPr>
          <w:rFonts w:ascii="Arial" w:hAnsi="Arial" w:cs="Arial"/>
          <w:sz w:val="20"/>
        </w:rPr>
      </w:pPr>
    </w:p>
    <w:p w:rsidR="00BE1C5A" w:rsidRDefault="00BE1C5A" w:rsidP="0067127E">
      <w:pPr>
        <w:spacing w:line="300" w:lineRule="exact"/>
        <w:rPr>
          <w:rFonts w:ascii="Arial" w:hAnsi="Arial" w:cs="Arial"/>
          <w:sz w:val="20"/>
        </w:rPr>
      </w:pPr>
    </w:p>
    <w:p w:rsidR="00BE1C5A" w:rsidRDefault="00BE1C5A" w:rsidP="0067127E">
      <w:pPr>
        <w:spacing w:line="300" w:lineRule="exact"/>
        <w:rPr>
          <w:rFonts w:ascii="Arial" w:hAnsi="Arial" w:cs="Arial"/>
          <w:sz w:val="20"/>
        </w:rPr>
      </w:pPr>
    </w:p>
    <w:p w:rsidR="00BE1C5A" w:rsidRDefault="00BE1C5A" w:rsidP="0067127E">
      <w:pPr>
        <w:spacing w:line="300" w:lineRule="exact"/>
        <w:rPr>
          <w:rFonts w:ascii="Arial" w:hAnsi="Arial" w:cs="Arial"/>
          <w:sz w:val="20"/>
        </w:rPr>
      </w:pPr>
    </w:p>
    <w:p w:rsidR="00BE1C5A" w:rsidRDefault="00BE1C5A" w:rsidP="0067127E">
      <w:pPr>
        <w:spacing w:line="300" w:lineRule="exact"/>
        <w:rPr>
          <w:rFonts w:ascii="Arial" w:hAnsi="Arial" w:cs="Arial"/>
          <w:sz w:val="20"/>
        </w:rPr>
      </w:pPr>
    </w:p>
    <w:p w:rsidR="00BE1C5A" w:rsidRDefault="00BE1C5A" w:rsidP="0067127E">
      <w:pPr>
        <w:spacing w:line="300" w:lineRule="exact"/>
        <w:rPr>
          <w:rFonts w:ascii="Arial" w:hAnsi="Arial" w:cs="Arial"/>
          <w:sz w:val="20"/>
        </w:rPr>
      </w:pPr>
    </w:p>
    <w:p w:rsidR="00BE1C5A" w:rsidRDefault="00BE1C5A" w:rsidP="0067127E">
      <w:pPr>
        <w:spacing w:line="300" w:lineRule="exact"/>
        <w:rPr>
          <w:rFonts w:ascii="Arial" w:hAnsi="Arial" w:cs="Arial"/>
          <w:sz w:val="20"/>
        </w:rPr>
      </w:pPr>
    </w:p>
    <w:p w:rsidR="00BE1C5A" w:rsidRDefault="00BE1C5A" w:rsidP="0067127E">
      <w:pPr>
        <w:spacing w:line="300" w:lineRule="exact"/>
        <w:rPr>
          <w:rFonts w:ascii="Arial" w:hAnsi="Arial" w:cs="Arial"/>
          <w:sz w:val="20"/>
        </w:rPr>
      </w:pPr>
    </w:p>
    <w:p w:rsidR="00BE1C5A" w:rsidRDefault="00BE1C5A" w:rsidP="0067127E">
      <w:pPr>
        <w:spacing w:line="300" w:lineRule="exact"/>
        <w:rPr>
          <w:rFonts w:ascii="Arial" w:hAnsi="Arial" w:cs="Arial"/>
          <w:sz w:val="20"/>
        </w:rPr>
      </w:pPr>
    </w:p>
    <w:p w:rsidR="00BE1C5A" w:rsidRDefault="00BE1C5A" w:rsidP="0067127E">
      <w:pPr>
        <w:spacing w:line="300" w:lineRule="exact"/>
        <w:rPr>
          <w:rFonts w:ascii="Arial" w:hAnsi="Arial" w:cs="Arial"/>
          <w:sz w:val="20"/>
        </w:rPr>
      </w:pPr>
    </w:p>
    <w:p w:rsidR="00BE1C5A" w:rsidRPr="00BE1C5A" w:rsidRDefault="00BE1C5A" w:rsidP="0067127E">
      <w:pPr>
        <w:spacing w:line="300" w:lineRule="exact"/>
        <w:rPr>
          <w:rFonts w:ascii="Arial" w:hAnsi="Arial" w:cs="Arial"/>
          <w:sz w:val="20"/>
          <w:szCs w:val="20"/>
        </w:rPr>
      </w:pPr>
      <w:bookmarkStart w:id="0" w:name="_GoBack"/>
      <w:bookmarkEnd w:id="0"/>
    </w:p>
    <w:p w:rsidR="00BE1C5A" w:rsidRPr="00BE1C5A" w:rsidRDefault="00BE1C5A" w:rsidP="00BE1C5A">
      <w:pPr>
        <w:spacing w:line="300" w:lineRule="atLeast"/>
        <w:ind w:left="708" w:hanging="708"/>
        <w:jc w:val="center"/>
        <w:rPr>
          <w:rFonts w:ascii="Arial" w:hAnsi="Arial" w:cs="Arial"/>
          <w:sz w:val="20"/>
          <w:szCs w:val="20"/>
        </w:rPr>
      </w:pPr>
      <w:r w:rsidRPr="00BE1C5A">
        <w:rPr>
          <w:rFonts w:ascii="Arial" w:hAnsi="Arial" w:cs="Arial"/>
          <w:sz w:val="20"/>
          <w:szCs w:val="20"/>
        </w:rPr>
        <w:t xml:space="preserve">Travail.Suisse, Hopfenweg 21, 3001 Bern, Tel. 031 370 21 11, info@travailsuisse.ch, </w:t>
      </w:r>
      <w:hyperlink r:id="rId10" w:history="1">
        <w:r w:rsidRPr="00BE1C5A">
          <w:rPr>
            <w:rStyle w:val="Hyperlink"/>
            <w:rFonts w:ascii="Arial" w:hAnsi="Arial" w:cs="Arial"/>
            <w:sz w:val="20"/>
            <w:szCs w:val="20"/>
          </w:rPr>
          <w:t>www.travailsuisse.ch</w:t>
        </w:r>
      </w:hyperlink>
    </w:p>
    <w:sectPr w:rsidR="00BE1C5A" w:rsidRPr="00BE1C5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2B9" w:rsidRDefault="003132B9" w:rsidP="00EF383D">
      <w:pPr>
        <w:spacing w:after="0" w:line="240" w:lineRule="auto"/>
      </w:pPr>
      <w:r>
        <w:separator/>
      </w:r>
    </w:p>
  </w:endnote>
  <w:endnote w:type="continuationSeparator" w:id="0">
    <w:p w:rsidR="003132B9" w:rsidRDefault="003132B9" w:rsidP="00EF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2B9" w:rsidRDefault="003132B9" w:rsidP="00EF383D">
      <w:pPr>
        <w:spacing w:after="0" w:line="240" w:lineRule="auto"/>
      </w:pPr>
      <w:r>
        <w:separator/>
      </w:r>
    </w:p>
  </w:footnote>
  <w:footnote w:type="continuationSeparator" w:id="0">
    <w:p w:rsidR="003132B9" w:rsidRDefault="003132B9" w:rsidP="00EF38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87"/>
    <w:rsid w:val="000118C1"/>
    <w:rsid w:val="00020E63"/>
    <w:rsid w:val="0002543C"/>
    <w:rsid w:val="00034B0B"/>
    <w:rsid w:val="0004593E"/>
    <w:rsid w:val="00051287"/>
    <w:rsid w:val="000564D3"/>
    <w:rsid w:val="000618E6"/>
    <w:rsid w:val="000770E0"/>
    <w:rsid w:val="000A3CF8"/>
    <w:rsid w:val="000E34AA"/>
    <w:rsid w:val="0010655B"/>
    <w:rsid w:val="00107757"/>
    <w:rsid w:val="00143E0A"/>
    <w:rsid w:val="00155A82"/>
    <w:rsid w:val="001723A2"/>
    <w:rsid w:val="00173C85"/>
    <w:rsid w:val="001E619A"/>
    <w:rsid w:val="00242D60"/>
    <w:rsid w:val="00262A29"/>
    <w:rsid w:val="002702EF"/>
    <w:rsid w:val="00287548"/>
    <w:rsid w:val="002E24EC"/>
    <w:rsid w:val="002F1341"/>
    <w:rsid w:val="00307312"/>
    <w:rsid w:val="003132B9"/>
    <w:rsid w:val="00325F08"/>
    <w:rsid w:val="0033719D"/>
    <w:rsid w:val="00361C16"/>
    <w:rsid w:val="00362844"/>
    <w:rsid w:val="003C1D9D"/>
    <w:rsid w:val="003C6609"/>
    <w:rsid w:val="003D5A0F"/>
    <w:rsid w:val="004130F1"/>
    <w:rsid w:val="0041322D"/>
    <w:rsid w:val="00445FC7"/>
    <w:rsid w:val="0045155F"/>
    <w:rsid w:val="00485E54"/>
    <w:rsid w:val="0049611B"/>
    <w:rsid w:val="004B3AB8"/>
    <w:rsid w:val="004B721C"/>
    <w:rsid w:val="004B787C"/>
    <w:rsid w:val="004E3444"/>
    <w:rsid w:val="00507E58"/>
    <w:rsid w:val="005468D5"/>
    <w:rsid w:val="0055693B"/>
    <w:rsid w:val="0057092E"/>
    <w:rsid w:val="005A753F"/>
    <w:rsid w:val="005B6A62"/>
    <w:rsid w:val="005C5D68"/>
    <w:rsid w:val="005F7B54"/>
    <w:rsid w:val="006134D9"/>
    <w:rsid w:val="00637A21"/>
    <w:rsid w:val="00657DC2"/>
    <w:rsid w:val="0067127E"/>
    <w:rsid w:val="00690A7E"/>
    <w:rsid w:val="006D2B15"/>
    <w:rsid w:val="006D78C8"/>
    <w:rsid w:val="00706D8F"/>
    <w:rsid w:val="007122DD"/>
    <w:rsid w:val="00714F5C"/>
    <w:rsid w:val="00725473"/>
    <w:rsid w:val="00741D01"/>
    <w:rsid w:val="0075114F"/>
    <w:rsid w:val="00794DCE"/>
    <w:rsid w:val="007A369D"/>
    <w:rsid w:val="007C1A6B"/>
    <w:rsid w:val="00801A1F"/>
    <w:rsid w:val="00812F15"/>
    <w:rsid w:val="0087609C"/>
    <w:rsid w:val="008B1F84"/>
    <w:rsid w:val="008D45B1"/>
    <w:rsid w:val="008F7E6A"/>
    <w:rsid w:val="00920A68"/>
    <w:rsid w:val="00921F92"/>
    <w:rsid w:val="009237AB"/>
    <w:rsid w:val="00932F26"/>
    <w:rsid w:val="0094518D"/>
    <w:rsid w:val="009756E0"/>
    <w:rsid w:val="009961D6"/>
    <w:rsid w:val="009A7C07"/>
    <w:rsid w:val="009D09CC"/>
    <w:rsid w:val="009D29F2"/>
    <w:rsid w:val="009D3475"/>
    <w:rsid w:val="009E7971"/>
    <w:rsid w:val="009F0428"/>
    <w:rsid w:val="00A200A3"/>
    <w:rsid w:val="00A45EAD"/>
    <w:rsid w:val="00A4649C"/>
    <w:rsid w:val="00A62967"/>
    <w:rsid w:val="00A64572"/>
    <w:rsid w:val="00A72F7C"/>
    <w:rsid w:val="00A919F3"/>
    <w:rsid w:val="00AB2B00"/>
    <w:rsid w:val="00AC6EE7"/>
    <w:rsid w:val="00AE130C"/>
    <w:rsid w:val="00AF4294"/>
    <w:rsid w:val="00AF619F"/>
    <w:rsid w:val="00B162FF"/>
    <w:rsid w:val="00B249AC"/>
    <w:rsid w:val="00B273A8"/>
    <w:rsid w:val="00B3528E"/>
    <w:rsid w:val="00BB79C1"/>
    <w:rsid w:val="00BD217A"/>
    <w:rsid w:val="00BE151F"/>
    <w:rsid w:val="00BE1C5A"/>
    <w:rsid w:val="00BF6A9C"/>
    <w:rsid w:val="00C24841"/>
    <w:rsid w:val="00C570A9"/>
    <w:rsid w:val="00C824D2"/>
    <w:rsid w:val="00CA0A3A"/>
    <w:rsid w:val="00CA5930"/>
    <w:rsid w:val="00CB6186"/>
    <w:rsid w:val="00CC2DFF"/>
    <w:rsid w:val="00CC39ED"/>
    <w:rsid w:val="00D01FE8"/>
    <w:rsid w:val="00D31F59"/>
    <w:rsid w:val="00DA072E"/>
    <w:rsid w:val="00DB04B6"/>
    <w:rsid w:val="00DB05DE"/>
    <w:rsid w:val="00DF4E28"/>
    <w:rsid w:val="00E57D72"/>
    <w:rsid w:val="00EA1CD1"/>
    <w:rsid w:val="00EE4E72"/>
    <w:rsid w:val="00EF383D"/>
    <w:rsid w:val="00EF6562"/>
    <w:rsid w:val="00F14FDF"/>
    <w:rsid w:val="00F412CF"/>
    <w:rsid w:val="00F5059C"/>
    <w:rsid w:val="00FA1574"/>
    <w:rsid w:val="00FC7587"/>
    <w:rsid w:val="00FD0863"/>
    <w:rsid w:val="00FF6F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D89B5-1174-441A-9222-76A3757E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702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F38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383D"/>
    <w:rPr>
      <w:sz w:val="20"/>
      <w:szCs w:val="20"/>
    </w:rPr>
  </w:style>
  <w:style w:type="character" w:styleId="Funotenzeichen">
    <w:name w:val="footnote reference"/>
    <w:basedOn w:val="Absatz-Standardschriftart"/>
    <w:uiPriority w:val="99"/>
    <w:semiHidden/>
    <w:unhideWhenUsed/>
    <w:rsid w:val="00EF383D"/>
    <w:rPr>
      <w:vertAlign w:val="superscript"/>
    </w:rPr>
  </w:style>
  <w:style w:type="character" w:styleId="Hyperlink">
    <w:name w:val="Hyperlink"/>
    <w:basedOn w:val="Absatz-Standardschriftart"/>
    <w:uiPriority w:val="99"/>
    <w:unhideWhenUsed/>
    <w:rsid w:val="00AF619F"/>
    <w:rPr>
      <w:color w:val="0000FF"/>
      <w:u w:val="single"/>
    </w:rPr>
  </w:style>
  <w:style w:type="character" w:customStyle="1" w:styleId="berschrift1Zchn">
    <w:name w:val="Überschrift 1 Zchn"/>
    <w:basedOn w:val="Absatz-Standardschriftart"/>
    <w:link w:val="berschrift1"/>
    <w:uiPriority w:val="9"/>
    <w:rsid w:val="002702EF"/>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unhideWhenUsed/>
    <w:rsid w:val="002702EF"/>
    <w:pPr>
      <w:spacing w:before="100" w:beforeAutospacing="1" w:after="100" w:afterAutospacing="1" w:line="240" w:lineRule="auto"/>
    </w:pPr>
    <w:rPr>
      <w:rFonts w:ascii="Times New Roman" w:eastAsia="Times New Roman" w:hAnsi="Times New Roman" w:cs="Times New Roman"/>
      <w:sz w:val="24"/>
      <w:szCs w:val="24"/>
      <w:lang w:eastAsia="de-CH"/>
    </w:rPr>
  </w:style>
  <w:style w:type="table" w:styleId="Tabellenraster">
    <w:name w:val="Table Grid"/>
    <w:basedOn w:val="NormaleTabelle"/>
    <w:uiPriority w:val="39"/>
    <w:rsid w:val="0057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A3C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3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51146">
      <w:bodyDiv w:val="1"/>
      <w:marLeft w:val="0"/>
      <w:marRight w:val="0"/>
      <w:marTop w:val="0"/>
      <w:marBottom w:val="0"/>
      <w:divBdr>
        <w:top w:val="none" w:sz="0" w:space="0" w:color="auto"/>
        <w:left w:val="none" w:sz="0" w:space="0" w:color="auto"/>
        <w:bottom w:val="none" w:sz="0" w:space="0" w:color="auto"/>
        <w:right w:val="none" w:sz="0" w:space="0" w:color="auto"/>
      </w:divBdr>
      <w:divsChild>
        <w:div w:id="831338590">
          <w:marLeft w:val="0"/>
          <w:marRight w:val="0"/>
          <w:marTop w:val="0"/>
          <w:marBottom w:val="0"/>
          <w:divBdr>
            <w:top w:val="none" w:sz="0" w:space="0" w:color="auto"/>
            <w:left w:val="none" w:sz="0" w:space="0" w:color="auto"/>
            <w:bottom w:val="none" w:sz="0" w:space="0" w:color="auto"/>
            <w:right w:val="none" w:sz="0" w:space="0" w:color="auto"/>
          </w:divBdr>
          <w:divsChild>
            <w:div w:id="1781146658">
              <w:marLeft w:val="0"/>
              <w:marRight w:val="0"/>
              <w:marTop w:val="0"/>
              <w:marBottom w:val="0"/>
              <w:divBdr>
                <w:top w:val="none" w:sz="0" w:space="0" w:color="auto"/>
                <w:left w:val="none" w:sz="0" w:space="0" w:color="auto"/>
                <w:bottom w:val="none" w:sz="0" w:space="0" w:color="auto"/>
                <w:right w:val="none" w:sz="0" w:space="0" w:color="auto"/>
              </w:divBdr>
            </w:div>
          </w:divsChild>
        </w:div>
        <w:div w:id="2103258743">
          <w:marLeft w:val="0"/>
          <w:marRight w:val="0"/>
          <w:marTop w:val="0"/>
          <w:marBottom w:val="0"/>
          <w:divBdr>
            <w:top w:val="none" w:sz="0" w:space="0" w:color="auto"/>
            <w:left w:val="none" w:sz="0" w:space="0" w:color="auto"/>
            <w:bottom w:val="none" w:sz="0" w:space="0" w:color="auto"/>
            <w:right w:val="none" w:sz="0" w:space="0" w:color="auto"/>
          </w:divBdr>
          <w:divsChild>
            <w:div w:id="2035886236">
              <w:marLeft w:val="0"/>
              <w:marRight w:val="0"/>
              <w:marTop w:val="0"/>
              <w:marBottom w:val="0"/>
              <w:divBdr>
                <w:top w:val="none" w:sz="0" w:space="0" w:color="auto"/>
                <w:left w:val="none" w:sz="0" w:space="0" w:color="auto"/>
                <w:bottom w:val="none" w:sz="0" w:space="0" w:color="auto"/>
                <w:right w:val="none" w:sz="0" w:space="0" w:color="auto"/>
              </w:divBdr>
            </w:div>
            <w:div w:id="1789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2298">
      <w:bodyDiv w:val="1"/>
      <w:marLeft w:val="0"/>
      <w:marRight w:val="0"/>
      <w:marTop w:val="0"/>
      <w:marBottom w:val="0"/>
      <w:divBdr>
        <w:top w:val="none" w:sz="0" w:space="0" w:color="auto"/>
        <w:left w:val="none" w:sz="0" w:space="0" w:color="auto"/>
        <w:bottom w:val="none" w:sz="0" w:space="0" w:color="auto"/>
        <w:right w:val="none" w:sz="0" w:space="0" w:color="auto"/>
      </w:divBdr>
    </w:div>
    <w:div w:id="1499661069">
      <w:bodyDiv w:val="1"/>
      <w:marLeft w:val="0"/>
      <w:marRight w:val="0"/>
      <w:marTop w:val="0"/>
      <w:marBottom w:val="0"/>
      <w:divBdr>
        <w:top w:val="none" w:sz="0" w:space="0" w:color="auto"/>
        <w:left w:val="none" w:sz="0" w:space="0" w:color="auto"/>
        <w:bottom w:val="none" w:sz="0" w:space="0" w:color="auto"/>
        <w:right w:val="none" w:sz="0" w:space="0" w:color="auto"/>
      </w:divBdr>
      <w:divsChild>
        <w:div w:id="1127813947">
          <w:marLeft w:val="0"/>
          <w:marRight w:val="0"/>
          <w:marTop w:val="0"/>
          <w:marBottom w:val="0"/>
          <w:divBdr>
            <w:top w:val="none" w:sz="0" w:space="0" w:color="auto"/>
            <w:left w:val="none" w:sz="0" w:space="0" w:color="auto"/>
            <w:bottom w:val="none" w:sz="0" w:space="0" w:color="auto"/>
            <w:right w:val="none" w:sz="0" w:space="0" w:color="auto"/>
          </w:divBdr>
        </w:div>
      </w:divsChild>
    </w:div>
    <w:div w:id="19495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availsuisse.ch" TargetMode="Externa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omainsrv\Usershares\fischer\&#196;ltere%20AN\2016%2003%2021%20&#228;AN%20ALV.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Arbeitsblat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Arbeitsblat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de-CH" sz="1200">
                <a:latin typeface="Arial" panose="020B0604020202020204" pitchFamily="34" charset="0"/>
                <a:cs typeface="Arial" panose="020B0604020202020204" pitchFamily="34" charset="0"/>
              </a:rPr>
              <a:t>Veränderung</a:t>
            </a:r>
            <a:r>
              <a:rPr lang="de-CH" sz="1200" baseline="0">
                <a:latin typeface="Arial" panose="020B0604020202020204" pitchFamily="34" charset="0"/>
                <a:cs typeface="Arial" panose="020B0604020202020204" pitchFamily="34" charset="0"/>
              </a:rPr>
              <a:t> der arbeitslosen Personen nach Alter 2013-2017</a:t>
            </a:r>
            <a:endParaRPr lang="de-CH" sz="1200">
              <a:latin typeface="Arial" panose="020B0604020202020204" pitchFamily="34" charset="0"/>
              <a:cs typeface="Arial" panose="020B0604020202020204" pitchFamily="34" charset="0"/>
            </a:endParaRPr>
          </a:p>
        </c:rich>
      </c:tx>
      <c:layout/>
      <c:overlay val="0"/>
      <c:spPr>
        <a:noFill/>
        <a:ln>
          <a:noFill/>
        </a:ln>
        <a:effectLst/>
      </c:spPr>
    </c:title>
    <c:autoTitleDeleted val="0"/>
    <c:plotArea>
      <c:layout/>
      <c:lineChart>
        <c:grouping val="standard"/>
        <c:varyColors val="0"/>
        <c:ser>
          <c:idx val="0"/>
          <c:order val="0"/>
          <c:tx>
            <c:strRef>
              <c:f>'3.1 Durchschnittliche Arbeitslo'!$B$107</c:f>
              <c:strCache>
                <c:ptCount val="1"/>
                <c:pt idx="0">
                  <c:v>15-29</c:v>
                </c:pt>
              </c:strCache>
            </c:strRef>
          </c:tx>
          <c:spPr>
            <a:ln w="28575" cap="rnd">
              <a:solidFill>
                <a:schemeClr val="accent1"/>
              </a:solidFill>
              <a:round/>
            </a:ln>
            <a:effectLst/>
          </c:spPr>
          <c:marker>
            <c:symbol val="none"/>
          </c:marker>
          <c:cat>
            <c:numRef>
              <c:f>'3.1 Durchschnittliche Arbeitslo'!$C$106:$G$106</c:f>
              <c:numCache>
                <c:formatCode>General</c:formatCode>
                <c:ptCount val="5"/>
                <c:pt idx="0">
                  <c:v>2013</c:v>
                </c:pt>
                <c:pt idx="1">
                  <c:v>2014</c:v>
                </c:pt>
                <c:pt idx="2">
                  <c:v>2015</c:v>
                </c:pt>
                <c:pt idx="3">
                  <c:v>2016</c:v>
                </c:pt>
                <c:pt idx="4">
                  <c:v>2017</c:v>
                </c:pt>
              </c:numCache>
            </c:numRef>
          </c:cat>
          <c:val>
            <c:numRef>
              <c:f>'3.1 Durchschnittliche Arbeitslo'!$C$107:$G$107</c:f>
              <c:numCache>
                <c:formatCode>#,##0.0</c:formatCode>
                <c:ptCount val="5"/>
                <c:pt idx="0">
                  <c:v>100</c:v>
                </c:pt>
                <c:pt idx="1">
                  <c:v>97.138992902252298</c:v>
                </c:pt>
                <c:pt idx="2">
                  <c:v>101.37506287374951</c:v>
                </c:pt>
                <c:pt idx="3" formatCode="General">
                  <c:v>104</c:v>
                </c:pt>
                <c:pt idx="4" formatCode="General">
                  <c:v>95.7</c:v>
                </c:pt>
              </c:numCache>
            </c:numRef>
          </c:val>
          <c:smooth val="0"/>
        </c:ser>
        <c:ser>
          <c:idx val="1"/>
          <c:order val="1"/>
          <c:tx>
            <c:strRef>
              <c:f>'3.1 Durchschnittliche Arbeitslo'!$B$108</c:f>
              <c:strCache>
                <c:ptCount val="1"/>
                <c:pt idx="0">
                  <c:v>30-49</c:v>
                </c:pt>
              </c:strCache>
            </c:strRef>
          </c:tx>
          <c:spPr>
            <a:ln w="28575" cap="rnd">
              <a:solidFill>
                <a:schemeClr val="accent2"/>
              </a:solidFill>
              <a:round/>
            </a:ln>
            <a:effectLst/>
          </c:spPr>
          <c:marker>
            <c:symbol val="none"/>
          </c:marker>
          <c:cat>
            <c:numRef>
              <c:f>'3.1 Durchschnittliche Arbeitslo'!$C$106:$G$106</c:f>
              <c:numCache>
                <c:formatCode>General</c:formatCode>
                <c:ptCount val="5"/>
                <c:pt idx="0">
                  <c:v>2013</c:v>
                </c:pt>
                <c:pt idx="1">
                  <c:v>2014</c:v>
                </c:pt>
                <c:pt idx="2">
                  <c:v>2015</c:v>
                </c:pt>
                <c:pt idx="3">
                  <c:v>2016</c:v>
                </c:pt>
                <c:pt idx="4">
                  <c:v>2017</c:v>
                </c:pt>
              </c:numCache>
            </c:numRef>
          </c:cat>
          <c:val>
            <c:numRef>
              <c:f>'3.1 Durchschnittliche Arbeitslo'!$C$108:$G$108</c:f>
              <c:numCache>
                <c:formatCode>#,##0.0</c:formatCode>
                <c:ptCount val="5"/>
                <c:pt idx="0">
                  <c:v>100</c:v>
                </c:pt>
                <c:pt idx="1">
                  <c:v>99.927573822084199</c:v>
                </c:pt>
                <c:pt idx="2">
                  <c:v>103.79562694451909</c:v>
                </c:pt>
                <c:pt idx="3" formatCode="General">
                  <c:v>108</c:v>
                </c:pt>
                <c:pt idx="4" formatCode="General">
                  <c:v>103.5</c:v>
                </c:pt>
              </c:numCache>
            </c:numRef>
          </c:val>
          <c:smooth val="0"/>
        </c:ser>
        <c:ser>
          <c:idx val="2"/>
          <c:order val="2"/>
          <c:tx>
            <c:strRef>
              <c:f>'3.1 Durchschnittliche Arbeitslo'!$B$109</c:f>
              <c:strCache>
                <c:ptCount val="1"/>
                <c:pt idx="0">
                  <c:v>50-60 und mehr</c:v>
                </c:pt>
              </c:strCache>
            </c:strRef>
          </c:tx>
          <c:spPr>
            <a:ln w="28575" cap="rnd">
              <a:solidFill>
                <a:schemeClr val="accent3"/>
              </a:solidFill>
              <a:round/>
            </a:ln>
            <a:effectLst/>
          </c:spPr>
          <c:marker>
            <c:symbol val="none"/>
          </c:marker>
          <c:cat>
            <c:numRef>
              <c:f>'3.1 Durchschnittliche Arbeitslo'!$C$106:$G$106</c:f>
              <c:numCache>
                <c:formatCode>General</c:formatCode>
                <c:ptCount val="5"/>
                <c:pt idx="0">
                  <c:v>2013</c:v>
                </c:pt>
                <c:pt idx="1">
                  <c:v>2014</c:v>
                </c:pt>
                <c:pt idx="2">
                  <c:v>2015</c:v>
                </c:pt>
                <c:pt idx="3">
                  <c:v>2016</c:v>
                </c:pt>
                <c:pt idx="4">
                  <c:v>2017</c:v>
                </c:pt>
              </c:numCache>
            </c:numRef>
          </c:cat>
          <c:val>
            <c:numRef>
              <c:f>'3.1 Durchschnittliche Arbeitslo'!$C$109:$G$109</c:f>
              <c:numCache>
                <c:formatCode>#,##0.0</c:formatCode>
                <c:ptCount val="5"/>
                <c:pt idx="0">
                  <c:v>100</c:v>
                </c:pt>
                <c:pt idx="1">
                  <c:v>104.242727870495</c:v>
                </c:pt>
                <c:pt idx="2">
                  <c:v>110.07660915761235</c:v>
                </c:pt>
                <c:pt idx="3" formatCode="General">
                  <c:v>118.7</c:v>
                </c:pt>
                <c:pt idx="4" formatCode="General">
                  <c:v>118.4</c:v>
                </c:pt>
              </c:numCache>
            </c:numRef>
          </c:val>
          <c:smooth val="0"/>
        </c:ser>
        <c:dLbls>
          <c:showLegendKey val="0"/>
          <c:showVal val="0"/>
          <c:showCatName val="0"/>
          <c:showSerName val="0"/>
          <c:showPercent val="0"/>
          <c:showBubbleSize val="0"/>
        </c:dLbls>
        <c:smooth val="0"/>
        <c:axId val="494660048"/>
        <c:axId val="494661616"/>
      </c:lineChart>
      <c:catAx>
        <c:axId val="49466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crossAx val="494661616"/>
        <c:crosses val="autoZero"/>
        <c:auto val="1"/>
        <c:lblAlgn val="ctr"/>
        <c:lblOffset val="100"/>
        <c:noMultiLvlLbl val="0"/>
      </c:catAx>
      <c:valAx>
        <c:axId val="494661616"/>
        <c:scaling>
          <c:orientation val="minMax"/>
          <c:max val="120"/>
          <c:min val="9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crossAx val="494660048"/>
        <c:crosses val="autoZero"/>
        <c:crossBetween val="between"/>
      </c:valAx>
      <c:spPr>
        <a:noFill/>
        <a:ln w="25400">
          <a:noFill/>
        </a:ln>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a:t>Entwicklung</a:t>
            </a:r>
            <a:r>
              <a:rPr lang="de-CH" baseline="0"/>
              <a:t> der Sozialhilfequote nach Alter  2005 - 2016</a:t>
            </a:r>
            <a:endParaRPr lang="de-CH"/>
          </a:p>
        </c:rich>
      </c:tx>
      <c:layout/>
      <c:overlay val="0"/>
      <c:spPr>
        <a:noFill/>
        <a:ln w="25400">
          <a:noFill/>
        </a:ln>
      </c:spPr>
    </c:title>
    <c:autoTitleDeleted val="0"/>
    <c:plotArea>
      <c:layout/>
      <c:lineChart>
        <c:grouping val="standard"/>
        <c:varyColors val="0"/>
        <c:ser>
          <c:idx val="0"/>
          <c:order val="0"/>
          <c:tx>
            <c:strRef>
              <c:f>'2016'!$A$37</c:f>
              <c:strCache>
                <c:ptCount val="1"/>
                <c:pt idx="0">
                  <c:v>18-25 Jahre</c:v>
                </c:pt>
              </c:strCache>
            </c:strRef>
          </c:tx>
          <c:spPr>
            <a:ln w="28575" cap="rnd">
              <a:solidFill>
                <a:schemeClr val="accent1"/>
              </a:solidFill>
              <a:round/>
            </a:ln>
            <a:effectLst/>
          </c:spPr>
          <c:marker>
            <c:symbol val="none"/>
          </c:marker>
          <c:cat>
            <c:numRef>
              <c:f>'2016'!$B$36:$M$36</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'2016'!$B$37:$M$37</c:f>
              <c:numCache>
                <c:formatCode>0.0</c:formatCode>
                <c:ptCount val="12"/>
                <c:pt idx="0" formatCode="General">
                  <c:v>100</c:v>
                </c:pt>
                <c:pt idx="1">
                  <c:v>100.75117392079392</c:v>
                </c:pt>
                <c:pt idx="2">
                  <c:v>93.335559702418692</c:v>
                </c:pt>
                <c:pt idx="3">
                  <c:v>85.015332612771985</c:v>
                </c:pt>
                <c:pt idx="4">
                  <c:v>88.754053157570524</c:v>
                </c:pt>
                <c:pt idx="5">
                  <c:v>86.891349427875795</c:v>
                </c:pt>
                <c:pt idx="6">
                  <c:v>84.508307139649759</c:v>
                </c:pt>
                <c:pt idx="7">
                  <c:v>88.51216116505293</c:v>
                </c:pt>
                <c:pt idx="8">
                  <c:v>89.45784152012871</c:v>
                </c:pt>
                <c:pt idx="9">
                  <c:v>88.174144182971432</c:v>
                </c:pt>
                <c:pt idx="10">
                  <c:v>86.920908990394281</c:v>
                </c:pt>
                <c:pt idx="11">
                  <c:v>88.001751009199566</c:v>
                </c:pt>
              </c:numCache>
            </c:numRef>
          </c:val>
          <c:smooth val="0"/>
        </c:ser>
        <c:ser>
          <c:idx val="1"/>
          <c:order val="1"/>
          <c:tx>
            <c:strRef>
              <c:f>'2016'!$A$38</c:f>
              <c:strCache>
                <c:ptCount val="1"/>
                <c:pt idx="0">
                  <c:v>26-35 Jahre</c:v>
                </c:pt>
              </c:strCache>
            </c:strRef>
          </c:tx>
          <c:spPr>
            <a:ln w="28575" cap="rnd">
              <a:solidFill>
                <a:schemeClr val="accent2"/>
              </a:solidFill>
              <a:round/>
            </a:ln>
            <a:effectLst/>
          </c:spPr>
          <c:marker>
            <c:symbol val="none"/>
          </c:marker>
          <c:cat>
            <c:numRef>
              <c:f>'2016'!$B$36:$M$36</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'2016'!$B$38:$M$38</c:f>
              <c:numCache>
                <c:formatCode>0.0</c:formatCode>
                <c:ptCount val="12"/>
                <c:pt idx="0" formatCode="General">
                  <c:v>100</c:v>
                </c:pt>
                <c:pt idx="1">
                  <c:v>101.13714427289212</c:v>
                </c:pt>
                <c:pt idx="2">
                  <c:v>93.273421399371585</c:v>
                </c:pt>
                <c:pt idx="3">
                  <c:v>86.327803867247766</c:v>
                </c:pt>
                <c:pt idx="4">
                  <c:v>87.464385058053765</c:v>
                </c:pt>
                <c:pt idx="5">
                  <c:v>86.664808495782509</c:v>
                </c:pt>
                <c:pt idx="6">
                  <c:v>100.59292543667016</c:v>
                </c:pt>
                <c:pt idx="7">
                  <c:v>105.76427131547237</c:v>
                </c:pt>
                <c:pt idx="8">
                  <c:v>108.19594130432333</c:v>
                </c:pt>
                <c:pt idx="9">
                  <c:v>108.65344549928489</c:v>
                </c:pt>
                <c:pt idx="10">
                  <c:v>108.0895187900492</c:v>
                </c:pt>
                <c:pt idx="11">
                  <c:v>109.80100679076996</c:v>
                </c:pt>
              </c:numCache>
            </c:numRef>
          </c:val>
          <c:smooth val="0"/>
        </c:ser>
        <c:ser>
          <c:idx val="2"/>
          <c:order val="2"/>
          <c:tx>
            <c:strRef>
              <c:f>'2016'!$A$39</c:f>
              <c:strCache>
                <c:ptCount val="1"/>
                <c:pt idx="0">
                  <c:v>36-45 Jahre</c:v>
                </c:pt>
              </c:strCache>
            </c:strRef>
          </c:tx>
          <c:spPr>
            <a:ln w="28575" cap="rnd">
              <a:solidFill>
                <a:schemeClr val="accent3"/>
              </a:solidFill>
              <a:round/>
            </a:ln>
            <a:effectLst/>
          </c:spPr>
          <c:marker>
            <c:symbol val="none"/>
          </c:marker>
          <c:cat>
            <c:numRef>
              <c:f>'2016'!$B$36:$M$36</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'2016'!$B$39:$M$39</c:f>
              <c:numCache>
                <c:formatCode>0.0</c:formatCode>
                <c:ptCount val="12"/>
                <c:pt idx="0" formatCode="General">
                  <c:v>100</c:v>
                </c:pt>
                <c:pt idx="1">
                  <c:v>101.22411337827965</c:v>
                </c:pt>
                <c:pt idx="2">
                  <c:v>94.216793395725716</c:v>
                </c:pt>
                <c:pt idx="3">
                  <c:v>86.579418920552172</c:v>
                </c:pt>
                <c:pt idx="4">
                  <c:v>86.999280087860811</c:v>
                </c:pt>
                <c:pt idx="5">
                  <c:v>84.637758077992231</c:v>
                </c:pt>
                <c:pt idx="6">
                  <c:v>87.820873248170003</c:v>
                </c:pt>
                <c:pt idx="7">
                  <c:v>92.000042038665057</c:v>
                </c:pt>
                <c:pt idx="8">
                  <c:v>94.14296299021025</c:v>
                </c:pt>
                <c:pt idx="9">
                  <c:v>95.879159857278722</c:v>
                </c:pt>
                <c:pt idx="10">
                  <c:v>97.264859354391191</c:v>
                </c:pt>
                <c:pt idx="11">
                  <c:v>99.841829522703492</c:v>
                </c:pt>
              </c:numCache>
            </c:numRef>
          </c:val>
          <c:smooth val="0"/>
        </c:ser>
        <c:ser>
          <c:idx val="3"/>
          <c:order val="3"/>
          <c:tx>
            <c:strRef>
              <c:f>'2016'!$A$40</c:f>
              <c:strCache>
                <c:ptCount val="1"/>
                <c:pt idx="0">
                  <c:v>46-55 Jahre</c:v>
                </c:pt>
              </c:strCache>
            </c:strRef>
          </c:tx>
          <c:spPr>
            <a:ln w="28575" cap="rnd">
              <a:solidFill>
                <a:schemeClr val="accent4"/>
              </a:solidFill>
              <a:round/>
            </a:ln>
            <a:effectLst/>
          </c:spPr>
          <c:marker>
            <c:symbol val="none"/>
          </c:marker>
          <c:cat>
            <c:numRef>
              <c:f>'2016'!$B$36:$M$36</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'2016'!$B$40:$M$40</c:f>
              <c:numCache>
                <c:formatCode>0.0</c:formatCode>
                <c:ptCount val="12"/>
                <c:pt idx="0" formatCode="General">
                  <c:v>100</c:v>
                </c:pt>
                <c:pt idx="1">
                  <c:v>106.94996525364837</c:v>
                </c:pt>
                <c:pt idx="2">
                  <c:v>105.28943710910355</c:v>
                </c:pt>
                <c:pt idx="3">
                  <c:v>102.03370396108409</c:v>
                </c:pt>
                <c:pt idx="4">
                  <c:v>106.00625434329396</c:v>
                </c:pt>
                <c:pt idx="5">
                  <c:v>109.4774148714385</c:v>
                </c:pt>
                <c:pt idx="6">
                  <c:v>104.37387074357191</c:v>
                </c:pt>
                <c:pt idx="7">
                  <c:v>109.86414176511465</c:v>
                </c:pt>
                <c:pt idx="8">
                  <c:v>112.31931897150798</c:v>
                </c:pt>
                <c:pt idx="9">
                  <c:v>115.27345378735232</c:v>
                </c:pt>
                <c:pt idx="10">
                  <c:v>115.74774148714384</c:v>
                </c:pt>
                <c:pt idx="11">
                  <c:v>118.13759555246699</c:v>
                </c:pt>
              </c:numCache>
            </c:numRef>
          </c:val>
          <c:smooth val="0"/>
        </c:ser>
        <c:ser>
          <c:idx val="4"/>
          <c:order val="4"/>
          <c:tx>
            <c:strRef>
              <c:f>'2016'!$A$41</c:f>
              <c:strCache>
                <c:ptCount val="1"/>
                <c:pt idx="0">
                  <c:v>56-64 Jahre</c:v>
                </c:pt>
              </c:strCache>
            </c:strRef>
          </c:tx>
          <c:spPr>
            <a:ln w="28575" cap="rnd">
              <a:solidFill>
                <a:schemeClr val="accent5"/>
              </a:solidFill>
              <a:round/>
            </a:ln>
            <a:effectLst/>
          </c:spPr>
          <c:marker>
            <c:symbol val="none"/>
          </c:marker>
          <c:cat>
            <c:numRef>
              <c:f>'2016'!$B$36:$M$36</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'2016'!$B$41:$M$41</c:f>
              <c:numCache>
                <c:formatCode>0.0</c:formatCode>
                <c:ptCount val="12"/>
                <c:pt idx="0" formatCode="General">
                  <c:v>100</c:v>
                </c:pt>
                <c:pt idx="1">
                  <c:v>111.42906950945071</c:v>
                </c:pt>
                <c:pt idx="2">
                  <c:v>110.5822565478769</c:v>
                </c:pt>
                <c:pt idx="3">
                  <c:v>110.2991051146869</c:v>
                </c:pt>
                <c:pt idx="4">
                  <c:v>116.20724994453191</c:v>
                </c:pt>
                <c:pt idx="5">
                  <c:v>121.493095542478</c:v>
                </c:pt>
                <c:pt idx="6">
                  <c:v>117.80525943221798</c:v>
                </c:pt>
                <c:pt idx="7">
                  <c:v>128.82333674946381</c:v>
                </c:pt>
                <c:pt idx="8">
                  <c:v>134.00141575716594</c:v>
                </c:pt>
                <c:pt idx="9">
                  <c:v>141.25188855666727</c:v>
                </c:pt>
                <c:pt idx="10">
                  <c:v>147.34598358144299</c:v>
                </c:pt>
                <c:pt idx="11">
                  <c:v>153.19760377816988</c:v>
                </c:pt>
              </c:numCache>
            </c:numRef>
          </c:val>
          <c:smooth val="0"/>
        </c:ser>
        <c:dLbls>
          <c:showLegendKey val="0"/>
          <c:showVal val="0"/>
          <c:showCatName val="0"/>
          <c:showSerName val="0"/>
          <c:showPercent val="0"/>
          <c:showBubbleSize val="0"/>
        </c:dLbls>
        <c:smooth val="0"/>
        <c:axId val="229272496"/>
        <c:axId val="229269360"/>
      </c:lineChart>
      <c:catAx>
        <c:axId val="22927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29269360"/>
        <c:crosses val="autoZero"/>
        <c:auto val="1"/>
        <c:lblAlgn val="ctr"/>
        <c:lblOffset val="100"/>
        <c:noMultiLvlLbl val="0"/>
      </c:catAx>
      <c:valAx>
        <c:axId val="229269360"/>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29272496"/>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a:t>Einschätzung</a:t>
            </a:r>
            <a:r>
              <a:rPr lang="de-CH" baseline="0"/>
              <a:t> der Schwierigkeiten bei Stellenverlust wieder eine vergleichbare Stelle zu finden </a:t>
            </a:r>
            <a:endParaRPr lang="de-CH"/>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item29!$L$21:$L$22</c:f>
              <c:strCache>
                <c:ptCount val="2"/>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item29!$K$23:$K$25</c:f>
              <c:strCache>
                <c:ptCount val="3"/>
                <c:pt idx="0">
                  <c:v>16-29 Jahre</c:v>
                </c:pt>
                <c:pt idx="1">
                  <c:v>30-45 Jahre</c:v>
                </c:pt>
                <c:pt idx="2">
                  <c:v>46-65 Jahre</c:v>
                </c:pt>
              </c:strCache>
            </c:strRef>
          </c:cat>
          <c:val>
            <c:numRef>
              <c:f>item29!$L$23:$L$25</c:f>
              <c:numCache>
                <c:formatCode>General</c:formatCode>
                <c:ptCount val="3"/>
                <c:pt idx="0">
                  <c:v>33</c:v>
                </c:pt>
                <c:pt idx="1">
                  <c:v>46.7</c:v>
                </c:pt>
                <c:pt idx="2">
                  <c:v>65.400000000000006</c:v>
                </c:pt>
              </c:numCache>
            </c:numRef>
          </c:val>
        </c:ser>
        <c:ser>
          <c:idx val="1"/>
          <c:order val="1"/>
          <c:tx>
            <c:strRef>
              <c:f>item29!$M$21:$M$22</c:f>
              <c:strCache>
                <c:ptCount val="2"/>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item29!$K$23:$K$25</c:f>
              <c:strCache>
                <c:ptCount val="3"/>
                <c:pt idx="0">
                  <c:v>16-29 Jahre</c:v>
                </c:pt>
                <c:pt idx="1">
                  <c:v>30-45 Jahre</c:v>
                </c:pt>
                <c:pt idx="2">
                  <c:v>46-65 Jahre</c:v>
                </c:pt>
              </c:strCache>
            </c:strRef>
          </c:cat>
          <c:val>
            <c:numRef>
              <c:f>item29!$M$23:$M$25</c:f>
              <c:numCache>
                <c:formatCode>General</c:formatCode>
                <c:ptCount val="3"/>
                <c:pt idx="0">
                  <c:v>33.1</c:v>
                </c:pt>
                <c:pt idx="1">
                  <c:v>46.5</c:v>
                </c:pt>
                <c:pt idx="2">
                  <c:v>69.7</c:v>
                </c:pt>
              </c:numCache>
            </c:numRef>
          </c:val>
        </c:ser>
        <c:dLbls>
          <c:showLegendKey val="0"/>
          <c:showVal val="0"/>
          <c:showCatName val="0"/>
          <c:showSerName val="0"/>
          <c:showPercent val="0"/>
          <c:showBubbleSize val="0"/>
        </c:dLbls>
        <c:gapWidth val="219"/>
        <c:overlap val="-27"/>
        <c:axId val="229268968"/>
        <c:axId val="229269752"/>
      </c:barChart>
      <c:catAx>
        <c:axId val="229268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29269752"/>
        <c:crosses val="autoZero"/>
        <c:auto val="1"/>
        <c:lblAlgn val="ctr"/>
        <c:lblOffset val="100"/>
        <c:noMultiLvlLbl val="0"/>
      </c:catAx>
      <c:valAx>
        <c:axId val="229269752"/>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29268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92ED1-F999-4CBF-93E9-7DE8D6FE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6182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Linda Rosenkranz</cp:lastModifiedBy>
  <cp:revision>8</cp:revision>
  <cp:lastPrinted>2018-05-14T08:11:00Z</cp:lastPrinted>
  <dcterms:created xsi:type="dcterms:W3CDTF">2018-05-09T07:26:00Z</dcterms:created>
  <dcterms:modified xsi:type="dcterms:W3CDTF">2018-05-14T10:20:00Z</dcterms:modified>
</cp:coreProperties>
</file>