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BF" w:rsidRDefault="003A0651">
      <w:pPr>
        <w:rPr>
          <w:noProof/>
          <w:lang w:eastAsia="de-CH"/>
        </w:rPr>
      </w:pPr>
      <w:r w:rsidRPr="004D04BC">
        <w:rPr>
          <w:rFonts w:eastAsia="Times New Roman"/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499D9DCB" wp14:editId="3EBB4080">
            <wp:simplePos x="0" y="0"/>
            <wp:positionH relativeFrom="page">
              <wp:posOffset>-57150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16C" w:rsidRDefault="00CE616C">
      <w:pPr>
        <w:rPr>
          <w:noProof/>
          <w:lang w:eastAsia="de-CH"/>
        </w:rPr>
      </w:pPr>
    </w:p>
    <w:p w:rsidR="003A0651" w:rsidRDefault="003A0651">
      <w:pPr>
        <w:rPr>
          <w:noProof/>
          <w:lang w:eastAsia="de-CH"/>
        </w:rPr>
      </w:pPr>
    </w:p>
    <w:p w:rsidR="003A0651" w:rsidRDefault="003A0651">
      <w:pPr>
        <w:rPr>
          <w:noProof/>
          <w:lang w:eastAsia="de-CH"/>
        </w:rPr>
      </w:pPr>
    </w:p>
    <w:p w:rsidR="003A0651" w:rsidRDefault="003A0651"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616C" w:rsidTr="00CE616C">
        <w:tc>
          <w:tcPr>
            <w:tcW w:w="4531" w:type="dxa"/>
          </w:tcPr>
          <w:p w:rsidR="00CE616C" w:rsidRDefault="00CE616C"/>
        </w:tc>
        <w:tc>
          <w:tcPr>
            <w:tcW w:w="4531" w:type="dxa"/>
          </w:tcPr>
          <w:p w:rsidR="00CE616C" w:rsidRDefault="00CE616C" w:rsidP="00CE616C">
            <w:r>
              <w:t>Staatssekretariat für Bildung, Forschung und Innovation</w:t>
            </w:r>
          </w:p>
          <w:p w:rsidR="00CE616C" w:rsidRDefault="00CE616C" w:rsidP="00CE616C">
            <w:r>
              <w:t>Einsteinstrasse 2</w:t>
            </w:r>
          </w:p>
          <w:p w:rsidR="00CE616C" w:rsidRDefault="00CE616C" w:rsidP="00CE616C">
            <w:r>
              <w:t>3003 Bern</w:t>
            </w:r>
          </w:p>
          <w:p w:rsidR="00193FE9" w:rsidRDefault="003A0651" w:rsidP="00CE616C">
            <w:hyperlink r:id="rId9" w:history="1">
              <w:r w:rsidR="00193FE9" w:rsidRPr="00C27B19">
                <w:rPr>
                  <w:rStyle w:val="Hyperlink"/>
                </w:rPr>
                <w:t>marlene.furrer@sbfi.admin.ch</w:t>
              </w:r>
            </w:hyperlink>
            <w:r w:rsidR="00193FE9">
              <w:t xml:space="preserve"> </w:t>
            </w:r>
          </w:p>
        </w:tc>
      </w:tr>
    </w:tbl>
    <w:p w:rsidR="00CE616C" w:rsidRDefault="00CE616C"/>
    <w:p w:rsidR="00CE616C" w:rsidRDefault="00CE616C"/>
    <w:p w:rsidR="00CE616C" w:rsidRDefault="00CE616C">
      <w:r>
        <w:t>Bern, 27.01.2017</w:t>
      </w:r>
    </w:p>
    <w:p w:rsidR="00CE616C" w:rsidRDefault="00CE616C"/>
    <w:p w:rsidR="00CE616C" w:rsidRDefault="00CE616C"/>
    <w:p w:rsidR="00CE616C" w:rsidRPr="00FF3240" w:rsidRDefault="0090395E">
      <w:pPr>
        <w:rPr>
          <w:b/>
          <w:sz w:val="24"/>
          <w:szCs w:val="24"/>
        </w:rPr>
      </w:pPr>
      <w:r w:rsidRPr="00FF3240">
        <w:rPr>
          <w:b/>
          <w:sz w:val="24"/>
          <w:szCs w:val="24"/>
        </w:rPr>
        <w:t xml:space="preserve">Konsultation: </w:t>
      </w:r>
      <w:r w:rsidR="00CE616C" w:rsidRPr="00FF3240">
        <w:rPr>
          <w:b/>
          <w:sz w:val="24"/>
          <w:szCs w:val="24"/>
        </w:rPr>
        <w:t>Flexibilisierung der BM 1</w:t>
      </w:r>
    </w:p>
    <w:p w:rsidR="00CE616C" w:rsidRDefault="00CE616C">
      <w:pPr>
        <w:rPr>
          <w:b/>
        </w:rPr>
      </w:pPr>
    </w:p>
    <w:p w:rsidR="00CE616C" w:rsidRDefault="00CE616C">
      <w:r w:rsidRPr="00CE616C">
        <w:t>Sehr geehrte Damen und Herren</w:t>
      </w:r>
    </w:p>
    <w:p w:rsidR="00CE616C" w:rsidRDefault="00CE616C">
      <w:r>
        <w:t xml:space="preserve">Herzlichen Dank für die Zusendung der Unterlagen zur </w:t>
      </w:r>
      <w:r w:rsidRPr="00CE616C">
        <w:t>Konsultation zu den Eckwerten BM 1</w:t>
      </w:r>
      <w:r>
        <w:t>. Gerne nimmt Travail.Suisse</w:t>
      </w:r>
      <w:r w:rsidR="0090395E">
        <w:t xml:space="preserve"> wie</w:t>
      </w:r>
      <w:r>
        <w:t xml:space="preserve"> folgt Stellung:</w:t>
      </w:r>
    </w:p>
    <w:p w:rsidR="00CE616C" w:rsidRDefault="00CE616C"/>
    <w:p w:rsidR="00CE616C" w:rsidRPr="0090395E" w:rsidRDefault="00CE616C">
      <w:pPr>
        <w:rPr>
          <w:b/>
        </w:rPr>
      </w:pPr>
      <w:r w:rsidRPr="0090395E">
        <w:rPr>
          <w:b/>
        </w:rPr>
        <w:t xml:space="preserve">1. Ist die Flexibilisierung der BM-Modelle erwünscht? </w:t>
      </w:r>
    </w:p>
    <w:p w:rsidR="005625FC" w:rsidRDefault="00CE616C">
      <w:r>
        <w:t xml:space="preserve">Travail.Suisse befürwortet Pilotversuche in diesem Bereich. Allerdings nicht </w:t>
      </w:r>
      <w:r w:rsidR="0090395E">
        <w:t>für BM-Modelle, welche vor Lehrbeginn ei</w:t>
      </w:r>
      <w:r w:rsidR="00E92161">
        <w:t xml:space="preserve">nsetzen. Die Auswertungen der verschiedenen bewilligten Pilotversuche </w:t>
      </w:r>
      <w:r w:rsidR="005625FC">
        <w:t xml:space="preserve">mit BM-Anteilen nach der Lehre </w:t>
      </w:r>
      <w:r w:rsidR="00E92161">
        <w:t>müssen insbesondere auch der Frage nachgehen, was für Vor- und Nachteile die Flexibilisierung für die Lernenden bringt</w:t>
      </w:r>
      <w:r w:rsidR="005625FC">
        <w:t xml:space="preserve"> und wie allfällige Nachteile korrigiert werden können</w:t>
      </w:r>
      <w:r w:rsidR="00E92161">
        <w:t xml:space="preserve">. </w:t>
      </w:r>
      <w:r w:rsidR="005625FC">
        <w:t xml:space="preserve">Zudem haben die Pilotversuche zu zeigen, </w:t>
      </w:r>
    </w:p>
    <w:p w:rsidR="005625FC" w:rsidRDefault="00193FE9" w:rsidP="00193FE9">
      <w:pPr>
        <w:pStyle w:val="Listenabsatz"/>
        <w:numPr>
          <w:ilvl w:val="0"/>
          <w:numId w:val="1"/>
        </w:numPr>
      </w:pPr>
      <w:r w:rsidRPr="00193FE9">
        <w:t xml:space="preserve">wie die BM-Modelle mit Anteilen nach der Lehre </w:t>
      </w:r>
      <w:r w:rsidR="002D0CA6">
        <w:t>in einen Lehrvertrag integriert werden können zum Beispiel im Hinblick auf Zahlungen bzgl. Loh</w:t>
      </w:r>
      <w:r>
        <w:t>n und/oder Sozialversicherungen;</w:t>
      </w:r>
      <w:r w:rsidR="002D0CA6">
        <w:t xml:space="preserve"> </w:t>
      </w:r>
    </w:p>
    <w:p w:rsidR="002D0CA6" w:rsidRDefault="00193FE9" w:rsidP="00193FE9">
      <w:pPr>
        <w:pStyle w:val="Listenabsatz"/>
        <w:numPr>
          <w:ilvl w:val="0"/>
          <w:numId w:val="1"/>
        </w:numPr>
      </w:pPr>
      <w:r w:rsidRPr="00193FE9">
        <w:t xml:space="preserve">wie die BM-Modelle mit Anteilen nach der Lehre </w:t>
      </w:r>
      <w:r w:rsidR="000B753A">
        <w:t xml:space="preserve">mit </w:t>
      </w:r>
      <w:r w:rsidR="002D0CA6">
        <w:t>allfällige</w:t>
      </w:r>
      <w:r w:rsidR="000B753A">
        <w:t>n Anschlusslösungen bzgl. Rekrutenschule/Zivildienst</w:t>
      </w:r>
      <w:r w:rsidR="002D0CA6">
        <w:t>, Sprachaufenthalten und Studienbeginn koordiniert werden können</w:t>
      </w:r>
      <w:r w:rsidR="000B753A">
        <w:t xml:space="preserve">. </w:t>
      </w:r>
    </w:p>
    <w:p w:rsidR="002D0CA6" w:rsidRDefault="002D0CA6" w:rsidP="002D0CA6"/>
    <w:p w:rsidR="002D0CA6" w:rsidRPr="002D0CA6" w:rsidRDefault="002D0CA6" w:rsidP="002D0CA6">
      <w:pPr>
        <w:rPr>
          <w:b/>
        </w:rPr>
      </w:pPr>
      <w:r w:rsidRPr="002D0CA6">
        <w:rPr>
          <w:b/>
        </w:rPr>
        <w:lastRenderedPageBreak/>
        <w:t>2. Steigert die vorgesehene Flexibilisierung die Attraktivität der BM 1?</w:t>
      </w:r>
    </w:p>
    <w:p w:rsidR="000B753A" w:rsidRDefault="000B753A" w:rsidP="002D0CA6">
      <w:r w:rsidRPr="000B753A">
        <w:t>BM-Modelle mit Anteilen nach der Lehre</w:t>
      </w:r>
      <w:r>
        <w:t xml:space="preserve"> scheinen ein Potential zu haben, um die Attraktivität der BM 1 zu steigern.</w:t>
      </w:r>
      <w:r w:rsidR="009840A3">
        <w:t xml:space="preserve"> </w:t>
      </w:r>
      <w:r>
        <w:t>Die Betriebe können damit rechnen, dass starke Lernende mehr produktive Arbeitsstunden im Betrieb l</w:t>
      </w:r>
      <w:r w:rsidR="009840A3">
        <w:t>eisten</w:t>
      </w:r>
      <w:r>
        <w:t xml:space="preserve">. </w:t>
      </w:r>
      <w:r w:rsidR="009840A3">
        <w:t xml:space="preserve">Damit steigt bei ihnen allenfalls die Bereitschaft, BerufsmaturandInnen auszubilden. Die </w:t>
      </w:r>
      <w:r>
        <w:t>Lernende</w:t>
      </w:r>
      <w:r w:rsidR="009840A3">
        <w:t>n</w:t>
      </w:r>
      <w:r>
        <w:t xml:space="preserve"> werden insofern entlastet, als dass Qualifikationsverfahren </w:t>
      </w:r>
      <w:r w:rsidR="004511E2">
        <w:t xml:space="preserve">zum EFZ </w:t>
      </w:r>
      <w:r>
        <w:t xml:space="preserve">am Ende der Lehre </w:t>
      </w:r>
      <w:r w:rsidR="003676E7">
        <w:t>nicht mehr mit</w:t>
      </w:r>
      <w:r w:rsidR="005075AB">
        <w:t xml:space="preserve"> den BM-Prüfungen zusammenfallen</w:t>
      </w:r>
      <w:r w:rsidR="003676E7">
        <w:t xml:space="preserve">. Hingegen </w:t>
      </w:r>
      <w:r w:rsidR="004511E2">
        <w:t xml:space="preserve">erhöhen sich für sie insgesamt die zu leistenden Stunden (Schule, Betrieb), weil der Wegfall der BM-Stunden während der Lehre nicht zu Freistunden führt, sondern die wegfallenden BM-Stunden zu Arbeitsstunden im Betrieb mutieren. Hingegen kann das </w:t>
      </w:r>
      <w:r w:rsidR="004511E2" w:rsidRPr="004511E2">
        <w:t>BM-Modelle mit Anteilen nach der Lehre</w:t>
      </w:r>
      <w:r w:rsidR="004511E2">
        <w:t xml:space="preserve"> dazu führen, dass </w:t>
      </w:r>
      <w:r w:rsidR="00651CD8">
        <w:t xml:space="preserve">weniger Jugendliche auf die BM 2 ausweichen müssen, da allenfalls mehr Betriebe bereit sind, BerufsmaturandInnen auszubilden. Das wäre dann für die Jugendlichen </w:t>
      </w:r>
      <w:r w:rsidR="00515736">
        <w:t xml:space="preserve">ein </w:t>
      </w:r>
      <w:r w:rsidR="00651CD8">
        <w:t xml:space="preserve">zeitlicher Vorteil. </w:t>
      </w:r>
    </w:p>
    <w:p w:rsidR="005625FC" w:rsidRDefault="005625FC"/>
    <w:p w:rsidR="00651CD8" w:rsidRPr="00B34306" w:rsidRDefault="00651CD8">
      <w:pPr>
        <w:rPr>
          <w:rStyle w:val="Fett"/>
        </w:rPr>
      </w:pPr>
      <w:r w:rsidRPr="00651CD8">
        <w:rPr>
          <w:b/>
        </w:rPr>
        <w:t xml:space="preserve">3. Gehen Sie davon aus, dass mit der vorgesehenen Flexibilisierung mehr Betriebe die BM ermöglichen? </w:t>
      </w:r>
    </w:p>
    <w:p w:rsidR="00B34306" w:rsidRDefault="00651CD8">
      <w:r w:rsidRPr="00651CD8">
        <w:t>Im</w:t>
      </w:r>
      <w:r>
        <w:t xml:space="preserve"> Grundsatz ja. Aber </w:t>
      </w:r>
      <w:r w:rsidR="00B34306">
        <w:t xml:space="preserve">es darf nicht passieren, dass die integrierte BM 1 von der BM 1 </w:t>
      </w:r>
      <w:r w:rsidR="00B34306" w:rsidRPr="00B34306">
        <w:t xml:space="preserve">mit Anteilen nach der Lehre </w:t>
      </w:r>
      <w:r w:rsidR="00B34306">
        <w:t xml:space="preserve">verdrängt wird. Ansonsten könnte es dazu führen, dass gerade für die stärksten Jugendlichen durch die Verlängerung der Lehre </w:t>
      </w:r>
      <w:r w:rsidR="004A4A29">
        <w:t xml:space="preserve">die berufliche Grundbildung (insbesondere die vierjährige Lehre) im Verhältnis zum gymnasialen Weg uninteressanter wird. </w:t>
      </w:r>
    </w:p>
    <w:p w:rsidR="00B34306" w:rsidRDefault="00B34306"/>
    <w:p w:rsidR="00651CD8" w:rsidRPr="004A4A29" w:rsidRDefault="004A4A29">
      <w:pPr>
        <w:rPr>
          <w:b/>
        </w:rPr>
      </w:pPr>
      <w:r w:rsidRPr="004A4A29">
        <w:rPr>
          <w:b/>
        </w:rPr>
        <w:t>4. Befürworten Sie die Eckwerte? Weshalb? Weshalb nicht?</w:t>
      </w:r>
    </w:p>
    <w:tbl>
      <w:tblPr>
        <w:tblStyle w:val="Tabellenraster1"/>
        <w:tblW w:w="9411" w:type="dxa"/>
        <w:tblLook w:val="04A0" w:firstRow="1" w:lastRow="0" w:firstColumn="1" w:lastColumn="0" w:noHBand="0" w:noVBand="1"/>
      </w:tblPr>
      <w:tblGrid>
        <w:gridCol w:w="1247"/>
        <w:gridCol w:w="1134"/>
        <w:gridCol w:w="1134"/>
        <w:gridCol w:w="5896"/>
      </w:tblGrid>
      <w:tr w:rsidR="004A4A29" w:rsidRPr="004A4A29" w:rsidTr="00F633F8">
        <w:tc>
          <w:tcPr>
            <w:tcW w:w="1247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4A4A2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134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4A4A2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5896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4A4A29">
              <w:rPr>
                <w:rFonts w:ascii="Arial" w:hAnsi="Arial" w:cs="Arial"/>
                <w:sz w:val="20"/>
                <w:szCs w:val="20"/>
              </w:rPr>
              <w:t>Begründung</w:t>
            </w:r>
          </w:p>
        </w:tc>
      </w:tr>
      <w:tr w:rsidR="004A4A29" w:rsidRPr="004A4A29" w:rsidTr="00F633F8">
        <w:tc>
          <w:tcPr>
            <w:tcW w:w="1247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4A4A29">
              <w:rPr>
                <w:rFonts w:ascii="Arial" w:hAnsi="Arial" w:cs="Arial"/>
                <w:sz w:val="20"/>
                <w:szCs w:val="20"/>
              </w:rPr>
              <w:t>Eckwert 1</w:t>
            </w:r>
          </w:p>
        </w:tc>
        <w:tc>
          <w:tcPr>
            <w:tcW w:w="1134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A29" w:rsidRPr="004A4A29" w:rsidRDefault="004A4A29" w:rsidP="004A4A29">
            <w:pPr>
              <w:spacing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96" w:type="dxa"/>
          </w:tcPr>
          <w:p w:rsidR="004A4A29" w:rsidRPr="004A4A29" w:rsidRDefault="004A4A29" w:rsidP="00B42896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0A76B1">
              <w:rPr>
                <w:rFonts w:ascii="Arial" w:hAnsi="Arial" w:cs="Arial"/>
                <w:sz w:val="20"/>
                <w:szCs w:val="20"/>
              </w:rPr>
              <w:t xml:space="preserve">Berufsmaturität </w:t>
            </w:r>
            <w:r w:rsidR="009E7B51">
              <w:rPr>
                <w:rFonts w:ascii="Arial" w:hAnsi="Arial" w:cs="Arial"/>
                <w:sz w:val="20"/>
                <w:szCs w:val="20"/>
              </w:rPr>
              <w:t>dient vor allem dazu</w:t>
            </w:r>
            <w:r w:rsidR="000A76B1">
              <w:rPr>
                <w:rFonts w:ascii="Arial" w:hAnsi="Arial" w:cs="Arial"/>
                <w:sz w:val="20"/>
                <w:szCs w:val="20"/>
              </w:rPr>
              <w:t xml:space="preserve">, auf ein </w:t>
            </w:r>
            <w:r w:rsidR="000A76B1" w:rsidRPr="000A76B1">
              <w:rPr>
                <w:rFonts w:ascii="Arial" w:hAnsi="Arial" w:cs="Arial"/>
                <w:sz w:val="20"/>
                <w:szCs w:val="20"/>
              </w:rPr>
              <w:t xml:space="preserve">Fachhochschulstudium </w:t>
            </w:r>
            <w:r w:rsidR="000A76B1">
              <w:rPr>
                <w:rFonts w:ascii="Arial" w:hAnsi="Arial" w:cs="Arial"/>
                <w:sz w:val="20"/>
                <w:szCs w:val="20"/>
              </w:rPr>
              <w:t xml:space="preserve">vorzubereiten (vgl. Art.3.1a BMV). Wenn bis zu 50% der BM-Lektionen vor einer Lehre vermittelt werden können, </w:t>
            </w:r>
            <w:r w:rsidR="009E7B51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B42896">
              <w:rPr>
                <w:rFonts w:ascii="Arial" w:hAnsi="Arial" w:cs="Arial"/>
                <w:sz w:val="20"/>
                <w:szCs w:val="20"/>
              </w:rPr>
              <w:t xml:space="preserve">total losgelöst von der </w:t>
            </w:r>
            <w:r w:rsidR="009E7B51">
              <w:rPr>
                <w:rFonts w:ascii="Arial" w:hAnsi="Arial" w:cs="Arial"/>
                <w:sz w:val="20"/>
                <w:szCs w:val="20"/>
              </w:rPr>
              <w:t xml:space="preserve">beruflichen Praxis und zeitlich weit entfernt vom FH-Studium, so ist dieses Modell aus unserer Sicht nicht zielführend. </w:t>
            </w:r>
          </w:p>
        </w:tc>
      </w:tr>
      <w:tr w:rsidR="004A4A29" w:rsidRPr="004A4A29" w:rsidTr="00F633F8">
        <w:tc>
          <w:tcPr>
            <w:tcW w:w="1247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4A4A29">
              <w:rPr>
                <w:rFonts w:ascii="Arial" w:hAnsi="Arial" w:cs="Arial"/>
                <w:sz w:val="20"/>
                <w:szCs w:val="20"/>
              </w:rPr>
              <w:t>Eckwert 2</w:t>
            </w:r>
          </w:p>
        </w:tc>
        <w:tc>
          <w:tcPr>
            <w:tcW w:w="1134" w:type="dxa"/>
          </w:tcPr>
          <w:p w:rsidR="004A4A29" w:rsidRPr="004A4A29" w:rsidRDefault="009E7B51" w:rsidP="009E7B51">
            <w:pPr>
              <w:spacing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4A4A29" w:rsidRPr="004A4A29" w:rsidRDefault="00C86E57" w:rsidP="00C86E57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C86E57">
              <w:rPr>
                <w:rFonts w:ascii="Arial" w:hAnsi="Arial" w:cs="Arial"/>
                <w:sz w:val="20"/>
                <w:szCs w:val="20"/>
              </w:rPr>
              <w:t>BM-Modelle mit Anteilen nach der Lehre scheinen ein Potential zu haben, um die Att</w:t>
            </w:r>
            <w:r>
              <w:rPr>
                <w:rFonts w:ascii="Arial" w:hAnsi="Arial" w:cs="Arial"/>
                <w:sz w:val="20"/>
                <w:szCs w:val="20"/>
              </w:rPr>
              <w:t xml:space="preserve">raktivität der BM 1 zu steigern (vgl. Antwort auf Frage 2). </w:t>
            </w:r>
            <w:r w:rsidR="009E7B51">
              <w:rPr>
                <w:rFonts w:ascii="Arial" w:hAnsi="Arial" w:cs="Arial"/>
                <w:sz w:val="20"/>
                <w:szCs w:val="20"/>
              </w:rPr>
              <w:t>Zu prüfen ist</w:t>
            </w:r>
            <w:r>
              <w:rPr>
                <w:rFonts w:ascii="Arial" w:hAnsi="Arial" w:cs="Arial"/>
                <w:sz w:val="20"/>
                <w:szCs w:val="20"/>
              </w:rPr>
              <w:t xml:space="preserve"> allerdings</w:t>
            </w:r>
            <w:r w:rsidR="009E7B51">
              <w:rPr>
                <w:rFonts w:ascii="Arial" w:hAnsi="Arial" w:cs="Arial"/>
                <w:sz w:val="20"/>
                <w:szCs w:val="20"/>
              </w:rPr>
              <w:t>, ob die Bestimmung „bis zu einem Drittel der BM-Lektionen“ die bestmöglichen Modelle ergibt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A4A29" w:rsidRPr="004A4A29" w:rsidTr="00F633F8">
        <w:tc>
          <w:tcPr>
            <w:tcW w:w="1247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4A4A29">
              <w:rPr>
                <w:rFonts w:ascii="Arial" w:hAnsi="Arial" w:cs="Arial"/>
                <w:sz w:val="20"/>
                <w:szCs w:val="20"/>
              </w:rPr>
              <w:t>Eckwert 3</w:t>
            </w:r>
          </w:p>
        </w:tc>
        <w:tc>
          <w:tcPr>
            <w:tcW w:w="1134" w:type="dxa"/>
          </w:tcPr>
          <w:p w:rsidR="004A4A29" w:rsidRPr="004A4A29" w:rsidRDefault="00C86E57" w:rsidP="00C86E57">
            <w:pPr>
              <w:spacing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4A4A29" w:rsidRPr="004A4A29" w:rsidRDefault="00C86E57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Grundsätzlich keine BM-Anteile vor Lehrbeginn. </w:t>
            </w:r>
          </w:p>
        </w:tc>
      </w:tr>
      <w:tr w:rsidR="004A4A29" w:rsidRPr="004A4A29" w:rsidTr="00F633F8">
        <w:tc>
          <w:tcPr>
            <w:tcW w:w="1247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4A4A29">
              <w:rPr>
                <w:rFonts w:ascii="Arial" w:hAnsi="Arial" w:cs="Arial"/>
                <w:sz w:val="20"/>
                <w:szCs w:val="20"/>
              </w:rPr>
              <w:t>Eckwert 4</w:t>
            </w:r>
          </w:p>
        </w:tc>
        <w:tc>
          <w:tcPr>
            <w:tcW w:w="1134" w:type="dxa"/>
          </w:tcPr>
          <w:p w:rsidR="004A4A29" w:rsidRPr="004A4A29" w:rsidRDefault="004A4A29" w:rsidP="00C86E57">
            <w:pPr>
              <w:spacing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A29" w:rsidRPr="004A4A29" w:rsidRDefault="00B42896" w:rsidP="00B42896">
            <w:pPr>
              <w:spacing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96" w:type="dxa"/>
          </w:tcPr>
          <w:p w:rsidR="004A4A29" w:rsidRPr="004A4A29" w:rsidRDefault="00B42896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Dann müsste wohl der BM-Unterricht vor Lehrbeginn einsetzen, was wir nicht befürworten. </w:t>
            </w:r>
          </w:p>
        </w:tc>
      </w:tr>
      <w:tr w:rsidR="004A4A29" w:rsidRPr="004A4A29" w:rsidTr="00F633F8">
        <w:tc>
          <w:tcPr>
            <w:tcW w:w="1247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4A4A29">
              <w:rPr>
                <w:rFonts w:ascii="Arial" w:hAnsi="Arial" w:cs="Arial"/>
                <w:sz w:val="20"/>
                <w:szCs w:val="20"/>
              </w:rPr>
              <w:lastRenderedPageBreak/>
              <w:t>Eckwert 5</w:t>
            </w:r>
          </w:p>
        </w:tc>
        <w:tc>
          <w:tcPr>
            <w:tcW w:w="1134" w:type="dxa"/>
          </w:tcPr>
          <w:p w:rsidR="004A4A29" w:rsidRPr="004A4A29" w:rsidRDefault="00C86E57" w:rsidP="00C86E57">
            <w:pPr>
              <w:spacing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4A4A29" w:rsidRPr="004A4A29" w:rsidRDefault="00B42896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Absolut notwendig. Diese Flexibilisierung hilft Jugendlichen, Schritt für Schritt unter Kenntnis der Belastung durch Schule und Betrieb die BM in Angriff zu nehmen.</w:t>
            </w:r>
            <w:r w:rsidR="00AB338F">
              <w:rPr>
                <w:rFonts w:ascii="Arial" w:hAnsi="Arial" w:cs="Arial"/>
                <w:sz w:val="20"/>
                <w:szCs w:val="20"/>
              </w:rPr>
              <w:t xml:space="preserve"> Es muss möglich sein, </w:t>
            </w:r>
            <w:r w:rsidR="00FF3240">
              <w:rPr>
                <w:rFonts w:ascii="Arial" w:hAnsi="Arial" w:cs="Arial"/>
                <w:sz w:val="20"/>
                <w:szCs w:val="20"/>
              </w:rPr>
              <w:t>die Entscheidung im 1. Lehrjahr zu treffen.</w:t>
            </w:r>
          </w:p>
        </w:tc>
      </w:tr>
      <w:tr w:rsidR="004A4A29" w:rsidRPr="004A4A29" w:rsidTr="00F633F8">
        <w:tc>
          <w:tcPr>
            <w:tcW w:w="1247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4A4A29">
              <w:rPr>
                <w:rFonts w:ascii="Arial" w:hAnsi="Arial" w:cs="Arial"/>
                <w:sz w:val="20"/>
                <w:szCs w:val="20"/>
              </w:rPr>
              <w:t>Eckwert 6</w:t>
            </w:r>
          </w:p>
        </w:tc>
        <w:tc>
          <w:tcPr>
            <w:tcW w:w="1134" w:type="dxa"/>
          </w:tcPr>
          <w:p w:rsidR="004A4A29" w:rsidRPr="004A4A29" w:rsidRDefault="00B42896" w:rsidP="00B42896">
            <w:pPr>
              <w:spacing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4A4A29" w:rsidRPr="004A4A29" w:rsidRDefault="004A4A29" w:rsidP="004A4A29">
            <w:pPr>
              <w:spacing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098" w:rsidRDefault="004D3098"/>
    <w:p w:rsidR="004D3098" w:rsidRDefault="004D3098"/>
    <w:p w:rsidR="004D3098" w:rsidRDefault="004D3098"/>
    <w:p w:rsidR="004A4A29" w:rsidRPr="00AB338F" w:rsidRDefault="00AB338F">
      <w:pPr>
        <w:rPr>
          <w:b/>
        </w:rPr>
      </w:pPr>
      <w:r w:rsidRPr="00AB338F">
        <w:rPr>
          <w:b/>
        </w:rPr>
        <w:t>5. Welche der beiden aufgezeigten Flexibilisierungsmöglichkeiten erscheint Ihnen besonders attraktiv?</w:t>
      </w:r>
    </w:p>
    <w:p w:rsidR="00FF3240" w:rsidRDefault="00AB338F">
      <w:r>
        <w:t xml:space="preserve">Die BM 1 mit Anteilen nach der Lehre zusammen mit dem Eckwert 5 („Ein BM-Start im 2. Lehrjahr auch bei 3-jährigen Lehren) scheint uns besonders attraktiv zu sein. Diesbezüglich </w:t>
      </w:r>
      <w:r w:rsidR="004D3098">
        <w:t xml:space="preserve">sind verschiedene </w:t>
      </w:r>
      <w:r>
        <w:t>Modell</w:t>
      </w:r>
      <w:r w:rsidR="004D3098">
        <w:t>e</w:t>
      </w:r>
      <w:r>
        <w:t xml:space="preserve"> auszuarbeiten </w:t>
      </w:r>
      <w:r w:rsidR="00FF3240">
        <w:t xml:space="preserve">und zu pilotieren. </w:t>
      </w:r>
    </w:p>
    <w:p w:rsidR="00FF3240" w:rsidRDefault="00FF3240"/>
    <w:p w:rsidR="00FF3240" w:rsidRPr="00FF3240" w:rsidRDefault="00FF3240">
      <w:pPr>
        <w:rPr>
          <w:b/>
        </w:rPr>
      </w:pPr>
      <w:r w:rsidRPr="00FF3240">
        <w:rPr>
          <w:b/>
        </w:rPr>
        <w:t>6. Fehlt eine für Sie attraktiv scheinende Flexibilisierungsmöglichkeit?</w:t>
      </w:r>
    </w:p>
    <w:p w:rsidR="00AB338F" w:rsidRDefault="00FF3240">
      <w:r>
        <w:t xml:space="preserve">Es ist darüber nachzudenken, ob es auch Möglichkeiten zur Erlangung einer Berufsmaturität geben kann, welche die starre </w:t>
      </w:r>
      <w:r w:rsidR="00993234">
        <w:t>Schulstruktur hinter</w:t>
      </w:r>
      <w:r w:rsidR="004D3098">
        <w:t xml:space="preserve"> sich lassen.</w:t>
      </w:r>
    </w:p>
    <w:p w:rsidR="00993234" w:rsidRDefault="00993234"/>
    <w:p w:rsidR="00993234" w:rsidRDefault="005075AB">
      <w:pPr>
        <w:rPr>
          <w:b/>
        </w:rPr>
      </w:pPr>
      <w:r>
        <w:rPr>
          <w:b/>
        </w:rPr>
        <w:t>Schlussb</w:t>
      </w:r>
      <w:r w:rsidR="00993234" w:rsidRPr="00993234">
        <w:rPr>
          <w:b/>
        </w:rPr>
        <w:t>emerkung:</w:t>
      </w:r>
    </w:p>
    <w:p w:rsidR="00993234" w:rsidRDefault="00993234" w:rsidP="00193FE9">
      <w:r w:rsidRPr="00993234">
        <w:t>Uns scheint es sehr wichtig zu sein</w:t>
      </w:r>
      <w:r>
        <w:t>, dass bei einem BM-Modell mit Anteilen nach der Lehre den jungen Erwachsenen nach Abschluss der BM</w:t>
      </w:r>
      <w:r w:rsidR="00193FE9">
        <w:t xml:space="preserve"> 1</w:t>
      </w:r>
      <w:r>
        <w:t xml:space="preserve"> spannende Mobilitätsmöglichkeiten aufgezeigt und angeboten werden</w:t>
      </w:r>
      <w:r w:rsidR="005075AB">
        <w:t xml:space="preserve"> (vgl. </w:t>
      </w:r>
      <w:hyperlink r:id="rId10" w:history="1">
        <w:r w:rsidR="005075AB" w:rsidRPr="00965885">
          <w:rPr>
            <w:rStyle w:val="Hyperlink"/>
          </w:rPr>
          <w:t>www.movetia.ch</w:t>
        </w:r>
      </w:hyperlink>
      <w:r w:rsidR="005075AB">
        <w:t xml:space="preserve">). </w:t>
      </w:r>
    </w:p>
    <w:p w:rsidR="004D3098" w:rsidRDefault="004D3098"/>
    <w:p w:rsidR="004D3098" w:rsidRDefault="004D3098">
      <w:r>
        <w:t>Wir danken für die Berücksichtigung unserer Überlegungen.</w:t>
      </w:r>
    </w:p>
    <w:p w:rsidR="004D3098" w:rsidRDefault="004D3098"/>
    <w:p w:rsidR="004D3098" w:rsidRDefault="004D3098">
      <w:r>
        <w:t>Mit freundlichen Grüssen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3098" w:rsidTr="004D3098">
        <w:tc>
          <w:tcPr>
            <w:tcW w:w="4531" w:type="dxa"/>
          </w:tcPr>
          <w:p w:rsidR="004D3098" w:rsidRDefault="004D3098">
            <w:r>
              <w:rPr>
                <w:noProof/>
                <w:lang w:eastAsia="de-CH"/>
              </w:rPr>
              <w:drawing>
                <wp:inline distT="0" distB="0" distL="0" distR="0" wp14:anchorId="67D38041">
                  <wp:extent cx="1266825" cy="438150"/>
                  <wp:effectExtent l="0" t="0" r="952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3098" w:rsidRDefault="004D3098"/>
          <w:p w:rsidR="004D3098" w:rsidRDefault="004D3098">
            <w:r>
              <w:t>Adrian Wüthrich</w:t>
            </w:r>
          </w:p>
          <w:p w:rsidR="004D3098" w:rsidRDefault="004D3098">
            <w:r>
              <w:t xml:space="preserve">Präsident Travail.Suisse </w:t>
            </w:r>
          </w:p>
        </w:tc>
        <w:tc>
          <w:tcPr>
            <w:tcW w:w="4531" w:type="dxa"/>
          </w:tcPr>
          <w:p w:rsidR="004D3098" w:rsidRDefault="004D3098">
            <w:r>
              <w:rPr>
                <w:noProof/>
                <w:lang w:eastAsia="de-CH"/>
              </w:rPr>
              <w:drawing>
                <wp:inline distT="0" distB="0" distL="0" distR="0" wp14:anchorId="02412374">
                  <wp:extent cx="1498001" cy="438150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227" cy="446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3098" w:rsidRDefault="004D3098"/>
          <w:p w:rsidR="004D3098" w:rsidRDefault="004D3098">
            <w:r>
              <w:t xml:space="preserve">Bruno Weber-Gobet </w:t>
            </w:r>
          </w:p>
          <w:p w:rsidR="004D3098" w:rsidRDefault="004D3098">
            <w:r>
              <w:t xml:space="preserve">Leiter Bildungspolitik Travail.Suisse </w:t>
            </w:r>
          </w:p>
        </w:tc>
      </w:tr>
    </w:tbl>
    <w:p w:rsidR="004D3098" w:rsidRDefault="004D3098"/>
    <w:p w:rsidR="004D3098" w:rsidRPr="00993234" w:rsidRDefault="004D3098"/>
    <w:sectPr w:rsidR="004D3098" w:rsidRPr="00993234" w:rsidSect="005075AB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63" w:rsidRDefault="00F31063" w:rsidP="005075AB">
      <w:pPr>
        <w:spacing w:after="0" w:line="240" w:lineRule="auto"/>
      </w:pPr>
      <w:r>
        <w:separator/>
      </w:r>
    </w:p>
  </w:endnote>
  <w:endnote w:type="continuationSeparator" w:id="0">
    <w:p w:rsidR="00F31063" w:rsidRDefault="00F31063" w:rsidP="0050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63" w:rsidRDefault="00F31063" w:rsidP="005075AB">
      <w:pPr>
        <w:spacing w:after="0" w:line="240" w:lineRule="auto"/>
      </w:pPr>
      <w:r>
        <w:separator/>
      </w:r>
    </w:p>
  </w:footnote>
  <w:footnote w:type="continuationSeparator" w:id="0">
    <w:p w:rsidR="00F31063" w:rsidRDefault="00F31063" w:rsidP="0050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1C97"/>
    <w:multiLevelType w:val="hybridMultilevel"/>
    <w:tmpl w:val="04A80FC4"/>
    <w:lvl w:ilvl="0" w:tplc="98B6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6C"/>
    <w:rsid w:val="000A76B1"/>
    <w:rsid w:val="000B753A"/>
    <w:rsid w:val="00193FE9"/>
    <w:rsid w:val="002D0CA6"/>
    <w:rsid w:val="003676E7"/>
    <w:rsid w:val="003A0651"/>
    <w:rsid w:val="004511E2"/>
    <w:rsid w:val="004A4A29"/>
    <w:rsid w:val="004D3098"/>
    <w:rsid w:val="005075AB"/>
    <w:rsid w:val="00515736"/>
    <w:rsid w:val="005625FC"/>
    <w:rsid w:val="00651CD8"/>
    <w:rsid w:val="0090395E"/>
    <w:rsid w:val="00946EBF"/>
    <w:rsid w:val="00961E00"/>
    <w:rsid w:val="009840A3"/>
    <w:rsid w:val="00993234"/>
    <w:rsid w:val="009E7B51"/>
    <w:rsid w:val="00AB338F"/>
    <w:rsid w:val="00B34306"/>
    <w:rsid w:val="00B42896"/>
    <w:rsid w:val="00C86E57"/>
    <w:rsid w:val="00CD2214"/>
    <w:rsid w:val="00CE616C"/>
    <w:rsid w:val="00E92161"/>
    <w:rsid w:val="00F31063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8B2261C0-54F3-4BC1-821D-1933A3E3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25F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34306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4A4A2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75A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5AB"/>
  </w:style>
  <w:style w:type="paragraph" w:styleId="Fuzeile">
    <w:name w:val="footer"/>
    <w:basedOn w:val="Standard"/>
    <w:link w:val="FuzeileZchn"/>
    <w:uiPriority w:val="99"/>
    <w:unhideWhenUsed/>
    <w:rsid w:val="0050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148687D-6B8A-4B2B-BA60-13947A55F3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movetia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ne.furrer@sbfi.admin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Weber</dc:creator>
  <cp:keywords/>
  <dc:description/>
  <cp:lastModifiedBy>Linda Rosenkranz</cp:lastModifiedBy>
  <cp:revision>2</cp:revision>
  <dcterms:created xsi:type="dcterms:W3CDTF">2017-02-01T14:31:00Z</dcterms:created>
  <dcterms:modified xsi:type="dcterms:W3CDTF">2017-02-01T14:31:00Z</dcterms:modified>
</cp:coreProperties>
</file>