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2B" w:rsidRPr="004D1C1C" w:rsidRDefault="0045342B" w:rsidP="0045342B">
      <w:pPr>
        <w:spacing w:after="0"/>
        <w:rPr>
          <w:b/>
          <w:szCs w:val="20"/>
          <w:lang w:val="fr-FR"/>
        </w:rPr>
      </w:pPr>
      <w:r w:rsidRPr="004D1C1C">
        <w:rPr>
          <w:noProof/>
          <w:lang w:eastAsia="de-CH"/>
        </w:rPr>
        <w:drawing>
          <wp:anchor distT="0" distB="0" distL="114300" distR="114300" simplePos="0" relativeHeight="251659264" behindDoc="0" locked="0" layoutInCell="1" allowOverlap="1">
            <wp:simplePos x="0" y="0"/>
            <wp:positionH relativeFrom="page">
              <wp:posOffset>61595</wp:posOffset>
            </wp:positionH>
            <wp:positionV relativeFrom="paragraph">
              <wp:posOffset>-899160</wp:posOffset>
            </wp:positionV>
            <wp:extent cx="1962150" cy="1762125"/>
            <wp:effectExtent l="0" t="0" r="0" b="9525"/>
            <wp:wrapNone/>
            <wp:docPr id="2"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7" r:link="rId8">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42B" w:rsidRPr="004D1C1C" w:rsidRDefault="0045342B" w:rsidP="0045342B">
      <w:pPr>
        <w:spacing w:after="0"/>
        <w:rPr>
          <w:b/>
          <w:szCs w:val="20"/>
          <w:lang w:val="fr-FR"/>
        </w:rPr>
      </w:pPr>
    </w:p>
    <w:p w:rsidR="0045342B" w:rsidRPr="004D1C1C" w:rsidRDefault="0045342B" w:rsidP="0045342B">
      <w:pPr>
        <w:spacing w:after="0"/>
        <w:rPr>
          <w:b/>
          <w:szCs w:val="20"/>
          <w:lang w:val="fr-FR"/>
        </w:rPr>
      </w:pPr>
    </w:p>
    <w:p w:rsidR="0045342B" w:rsidRPr="004D1C1C" w:rsidRDefault="0045342B" w:rsidP="0045342B">
      <w:pPr>
        <w:spacing w:after="0"/>
        <w:rPr>
          <w:b/>
          <w:szCs w:val="20"/>
          <w:lang w:val="fr-FR"/>
        </w:rPr>
      </w:pPr>
    </w:p>
    <w:p w:rsidR="0045342B" w:rsidRPr="004D1C1C" w:rsidRDefault="0045342B" w:rsidP="0045342B">
      <w:pPr>
        <w:spacing w:after="0"/>
        <w:rPr>
          <w:b/>
          <w:szCs w:val="20"/>
          <w:lang w:val="fr-FR"/>
        </w:rPr>
      </w:pPr>
    </w:p>
    <w:p w:rsidR="0045342B" w:rsidRPr="004D1C1C" w:rsidRDefault="0045342B" w:rsidP="0045342B">
      <w:pPr>
        <w:spacing w:after="0"/>
        <w:rPr>
          <w:b/>
          <w:szCs w:val="20"/>
          <w:lang w:val="fr-FR"/>
        </w:rPr>
      </w:pPr>
    </w:p>
    <w:p w:rsidR="00500A30" w:rsidRPr="004D1C1C" w:rsidRDefault="00500A30" w:rsidP="0045342B">
      <w:pPr>
        <w:spacing w:after="0"/>
        <w:rPr>
          <w:i/>
          <w:sz w:val="30"/>
          <w:szCs w:val="30"/>
          <w:lang w:val="fr-FR"/>
        </w:rPr>
      </w:pPr>
      <w:r w:rsidRPr="004D1C1C">
        <w:rPr>
          <w:b/>
          <w:sz w:val="30"/>
          <w:szCs w:val="30"/>
          <w:lang w:val="fr-FR"/>
        </w:rPr>
        <w:t>Attirer les médecins de famille</w:t>
      </w:r>
      <w:r w:rsidR="004D1C1C">
        <w:rPr>
          <w:b/>
          <w:sz w:val="30"/>
          <w:szCs w:val="30"/>
          <w:lang w:val="fr-FR"/>
        </w:rPr>
        <w:t xml:space="preserve"> </w:t>
      </w:r>
      <w:r w:rsidRPr="004D1C1C">
        <w:rPr>
          <w:b/>
          <w:sz w:val="30"/>
          <w:szCs w:val="30"/>
          <w:lang w:val="fr-FR"/>
        </w:rPr>
        <w:t>? Oui, mais comment</w:t>
      </w:r>
      <w:r w:rsidR="004D1C1C">
        <w:rPr>
          <w:b/>
          <w:sz w:val="30"/>
          <w:szCs w:val="30"/>
          <w:lang w:val="fr-FR"/>
        </w:rPr>
        <w:t xml:space="preserve"> </w:t>
      </w:r>
      <w:r w:rsidRPr="004D1C1C">
        <w:rPr>
          <w:b/>
          <w:sz w:val="30"/>
          <w:szCs w:val="30"/>
          <w:lang w:val="fr-FR"/>
        </w:rPr>
        <w:t>?</w:t>
      </w:r>
      <w:r w:rsidRPr="004D1C1C">
        <w:rPr>
          <w:i/>
          <w:sz w:val="30"/>
          <w:szCs w:val="30"/>
          <w:lang w:val="fr-FR"/>
        </w:rPr>
        <w:t xml:space="preserve">  </w:t>
      </w:r>
    </w:p>
    <w:p w:rsidR="0045342B" w:rsidRPr="004D1C1C" w:rsidRDefault="0045342B" w:rsidP="0045342B">
      <w:pPr>
        <w:spacing w:after="0"/>
        <w:rPr>
          <w:i/>
          <w:szCs w:val="20"/>
          <w:lang w:val="fr-FR"/>
        </w:rPr>
      </w:pPr>
    </w:p>
    <w:p w:rsidR="00500A30" w:rsidRPr="004D1C1C" w:rsidRDefault="00500A30" w:rsidP="0045342B">
      <w:pPr>
        <w:spacing w:after="0"/>
        <w:rPr>
          <w:b/>
          <w:szCs w:val="20"/>
          <w:lang w:val="fr-FR"/>
        </w:rPr>
      </w:pPr>
      <w:r w:rsidRPr="004D1C1C">
        <w:rPr>
          <w:b/>
          <w:szCs w:val="20"/>
          <w:lang w:val="fr-FR"/>
        </w:rPr>
        <w:t>La Suisse a besoin de médecins en plus grand nombre, en particulier de médecins de famille. C’est pourquoi la Confédération souhaite investir dans le développement de nouvelles places pour étudiants en médecine. Elle est prête à mettre à disposition 100 millions de francs à cet effet. Les établissements d’enseignement soucieux d’augmenter le nombre de médecins de famille devraient obtenir le supplément nécessaire. Quelles mesures sont alors appropriées pour gagner davantage de jeunes médecins à cette idée</w:t>
      </w:r>
      <w:r w:rsidR="004D1C1C">
        <w:rPr>
          <w:b/>
          <w:szCs w:val="20"/>
          <w:lang w:val="fr-FR"/>
        </w:rPr>
        <w:t xml:space="preserve"> </w:t>
      </w:r>
      <w:r w:rsidRPr="004D1C1C">
        <w:rPr>
          <w:b/>
          <w:szCs w:val="20"/>
          <w:lang w:val="fr-FR"/>
        </w:rPr>
        <w:t>? Un coup d’œil sur deux études.</w:t>
      </w:r>
    </w:p>
    <w:p w:rsidR="0045342B" w:rsidRPr="004D1C1C" w:rsidRDefault="0045342B" w:rsidP="0045342B">
      <w:pPr>
        <w:spacing w:after="0"/>
        <w:rPr>
          <w:b/>
          <w:szCs w:val="20"/>
          <w:lang w:val="fr-FR"/>
        </w:rPr>
      </w:pPr>
    </w:p>
    <w:p w:rsidR="00500A30" w:rsidRPr="004D1C1C" w:rsidRDefault="00500A30" w:rsidP="0045342B">
      <w:pPr>
        <w:spacing w:after="0"/>
        <w:rPr>
          <w:szCs w:val="20"/>
          <w:lang w:val="fr-FR"/>
        </w:rPr>
      </w:pPr>
      <w:r w:rsidRPr="004D1C1C">
        <w:rPr>
          <w:szCs w:val="20"/>
          <w:lang w:val="fr-FR"/>
        </w:rPr>
        <w:t>La question de savoir quelles sont les interventions qui mènent davantage d’étudiants en médecine à embrasser la profession et se spécialiser dans les soins médicaux de base fait également l’objet d’études scientifiques. Deux critères se sont révélés efficaces à cet égard</w:t>
      </w:r>
      <w:r w:rsidR="004D1C1C">
        <w:rPr>
          <w:szCs w:val="20"/>
          <w:lang w:val="fr-FR"/>
        </w:rPr>
        <w:t xml:space="preserve"> </w:t>
      </w:r>
      <w:r w:rsidRPr="004D1C1C">
        <w:rPr>
          <w:szCs w:val="20"/>
          <w:lang w:val="fr-FR"/>
        </w:rPr>
        <w:t xml:space="preserve">: les programmes longitudinaux et les expériences cliniques précoces. </w:t>
      </w:r>
    </w:p>
    <w:p w:rsidR="0045342B" w:rsidRPr="004D1C1C" w:rsidRDefault="0045342B" w:rsidP="0045342B">
      <w:pPr>
        <w:spacing w:after="0"/>
        <w:rPr>
          <w:szCs w:val="20"/>
          <w:lang w:val="fr-FR"/>
        </w:rPr>
      </w:pPr>
    </w:p>
    <w:p w:rsidR="0045342B" w:rsidRPr="004D1C1C" w:rsidRDefault="0045342B" w:rsidP="0045342B">
      <w:pPr>
        <w:spacing w:after="0"/>
        <w:rPr>
          <w:szCs w:val="20"/>
          <w:lang w:val="fr-FR"/>
        </w:rPr>
      </w:pPr>
    </w:p>
    <w:p w:rsidR="00500A30" w:rsidRPr="004D1C1C" w:rsidRDefault="00500A30" w:rsidP="0045342B">
      <w:pPr>
        <w:spacing w:after="0"/>
        <w:rPr>
          <w:b/>
          <w:szCs w:val="20"/>
          <w:lang w:val="fr-FR"/>
        </w:rPr>
      </w:pPr>
      <w:r w:rsidRPr="004D1C1C">
        <w:rPr>
          <w:b/>
          <w:szCs w:val="20"/>
          <w:lang w:val="fr-FR"/>
        </w:rPr>
        <w:t>Programmes longitudinaux</w:t>
      </w:r>
    </w:p>
    <w:p w:rsidR="0045342B" w:rsidRPr="004D1C1C" w:rsidRDefault="0045342B" w:rsidP="0045342B">
      <w:pPr>
        <w:spacing w:after="0"/>
        <w:rPr>
          <w:b/>
          <w:szCs w:val="20"/>
          <w:lang w:val="fr-FR"/>
        </w:rPr>
      </w:pPr>
    </w:p>
    <w:p w:rsidR="00500A30" w:rsidRPr="004D1C1C" w:rsidRDefault="00500A30" w:rsidP="0045342B">
      <w:pPr>
        <w:spacing w:after="0"/>
        <w:rPr>
          <w:szCs w:val="20"/>
          <w:lang w:val="fr-FR"/>
        </w:rPr>
      </w:pPr>
      <w:r w:rsidRPr="004D1C1C">
        <w:rPr>
          <w:szCs w:val="20"/>
          <w:lang w:val="fr-FR"/>
        </w:rPr>
        <w:t xml:space="preserve">En 2015, Eva </w:t>
      </w:r>
      <w:proofErr w:type="spellStart"/>
      <w:r w:rsidRPr="004D1C1C">
        <w:rPr>
          <w:szCs w:val="20"/>
          <w:lang w:val="fr-FR"/>
        </w:rPr>
        <w:t>Pfarrwaller</w:t>
      </w:r>
      <w:proofErr w:type="spellEnd"/>
      <w:r w:rsidRPr="004D1C1C">
        <w:rPr>
          <w:szCs w:val="20"/>
          <w:lang w:val="fr-FR"/>
        </w:rPr>
        <w:t xml:space="preserve"> a notamment lancé une étude</w:t>
      </w:r>
      <w:r w:rsidRPr="004D1C1C">
        <w:rPr>
          <w:rStyle w:val="Funotenzeichen"/>
          <w:rFonts w:cs="Arial"/>
          <w:szCs w:val="20"/>
          <w:lang w:val="fr-FR"/>
        </w:rPr>
        <w:footnoteReference w:id="1"/>
      </w:r>
      <w:r w:rsidRPr="004D1C1C">
        <w:rPr>
          <w:szCs w:val="20"/>
          <w:lang w:val="fr-FR"/>
        </w:rPr>
        <w:t xml:space="preserve"> dans le but d’identifier les interventions dans les facultés de médecine « qui augmentaient la proportion d’étudiants aspirant à une formation continue dans une discipline des soins médicaux de base »</w:t>
      </w:r>
      <w:r w:rsidRPr="004D1C1C">
        <w:rPr>
          <w:rStyle w:val="Funotenzeichen"/>
          <w:rFonts w:cs="Arial"/>
          <w:szCs w:val="20"/>
          <w:lang w:val="fr-FR"/>
        </w:rPr>
        <w:footnoteReference w:id="2"/>
      </w:r>
      <w:r w:rsidRPr="004D1C1C">
        <w:rPr>
          <w:szCs w:val="20"/>
          <w:lang w:val="fr-FR"/>
        </w:rPr>
        <w:t>. Résultat</w:t>
      </w:r>
      <w:r w:rsidR="004D1C1C">
        <w:rPr>
          <w:szCs w:val="20"/>
          <w:lang w:val="fr-FR"/>
        </w:rPr>
        <w:t xml:space="preserve"> </w:t>
      </w:r>
      <w:r w:rsidRPr="004D1C1C">
        <w:rPr>
          <w:szCs w:val="20"/>
          <w:lang w:val="fr-FR"/>
        </w:rPr>
        <w:t>: « les programmes longitudinaux ont été associés, d’une manière convergente, comme étant le seul et unique mode d’intervention qui a pour résultante une proportion plus importante d’étudiants ayant opté pour une carrière de médecin de famille</w:t>
      </w:r>
      <w:r w:rsidRPr="004D1C1C">
        <w:rPr>
          <w:rStyle w:val="Funotenzeichen"/>
          <w:rFonts w:cs="Arial"/>
          <w:szCs w:val="20"/>
          <w:lang w:val="fr-FR"/>
        </w:rPr>
        <w:footnoteReference w:id="3"/>
      </w:r>
      <w:r w:rsidRPr="004D1C1C">
        <w:rPr>
          <w:szCs w:val="20"/>
          <w:lang w:val="fr-FR"/>
        </w:rPr>
        <w:t> ». Ces programmes peuvent impliquer diverses formes d’apprentissage de même que la sélection des étudiants</w:t>
      </w:r>
      <w:r w:rsidRPr="004D1C1C">
        <w:rPr>
          <w:rStyle w:val="Funotenzeichen"/>
          <w:rFonts w:cs="Arial"/>
          <w:szCs w:val="20"/>
          <w:lang w:val="fr-FR"/>
        </w:rPr>
        <w:footnoteReference w:id="4"/>
      </w:r>
      <w:r w:rsidRPr="004D1C1C">
        <w:rPr>
          <w:szCs w:val="20"/>
          <w:lang w:val="fr-FR"/>
        </w:rPr>
        <w:t>. Par contre, des modules ou des stages pratiques uniques et isolés ne révèlent « aucun effet manifeste »</w:t>
      </w:r>
      <w:r w:rsidRPr="004D1C1C">
        <w:rPr>
          <w:rStyle w:val="Funotenzeichen"/>
          <w:rFonts w:cs="Arial"/>
          <w:szCs w:val="20"/>
          <w:lang w:val="fr-FR"/>
        </w:rPr>
        <w:footnoteReference w:id="5"/>
      </w:r>
      <w:r w:rsidRPr="004D1C1C">
        <w:rPr>
          <w:szCs w:val="20"/>
          <w:lang w:val="fr-FR"/>
        </w:rPr>
        <w:t xml:space="preserve">. </w:t>
      </w:r>
    </w:p>
    <w:p w:rsidR="0045342B" w:rsidRPr="004D1C1C" w:rsidRDefault="0045342B" w:rsidP="0045342B">
      <w:pPr>
        <w:spacing w:after="0"/>
        <w:rPr>
          <w:szCs w:val="20"/>
          <w:lang w:val="fr-FR"/>
        </w:rPr>
      </w:pPr>
    </w:p>
    <w:p w:rsidR="0045342B" w:rsidRPr="004D1C1C" w:rsidRDefault="0045342B" w:rsidP="0045342B">
      <w:pPr>
        <w:spacing w:after="0"/>
        <w:rPr>
          <w:szCs w:val="20"/>
          <w:lang w:val="fr-FR"/>
        </w:rPr>
      </w:pPr>
    </w:p>
    <w:p w:rsidR="00500A30" w:rsidRPr="004D1C1C" w:rsidRDefault="00500A30" w:rsidP="0045342B">
      <w:pPr>
        <w:spacing w:after="0"/>
        <w:rPr>
          <w:b/>
          <w:szCs w:val="20"/>
          <w:lang w:val="fr-FR"/>
        </w:rPr>
      </w:pPr>
      <w:r w:rsidRPr="004D1C1C">
        <w:rPr>
          <w:b/>
          <w:szCs w:val="20"/>
          <w:lang w:val="fr-FR"/>
        </w:rPr>
        <w:t>Expériences cliniques précoces</w:t>
      </w:r>
    </w:p>
    <w:p w:rsidR="0045342B" w:rsidRPr="004D1C1C" w:rsidRDefault="0045342B" w:rsidP="0045342B">
      <w:pPr>
        <w:spacing w:after="0"/>
        <w:rPr>
          <w:b/>
          <w:szCs w:val="20"/>
          <w:lang w:val="fr-FR"/>
        </w:rPr>
      </w:pPr>
    </w:p>
    <w:p w:rsidR="00500A30" w:rsidRPr="004D1C1C" w:rsidRDefault="00500A30" w:rsidP="0045342B">
      <w:pPr>
        <w:spacing w:after="0"/>
        <w:rPr>
          <w:szCs w:val="20"/>
          <w:lang w:val="fr-FR"/>
        </w:rPr>
      </w:pPr>
      <w:r w:rsidRPr="004D1C1C">
        <w:rPr>
          <w:szCs w:val="20"/>
          <w:lang w:val="fr-FR"/>
        </w:rPr>
        <w:t>Une autre étude</w:t>
      </w:r>
      <w:r w:rsidRPr="004D1C1C">
        <w:rPr>
          <w:rStyle w:val="Funotenzeichen"/>
          <w:rFonts w:cs="Arial"/>
          <w:szCs w:val="20"/>
          <w:lang w:val="fr-FR"/>
        </w:rPr>
        <w:footnoteReference w:id="6"/>
      </w:r>
      <w:r w:rsidRPr="004D1C1C">
        <w:rPr>
          <w:szCs w:val="20"/>
          <w:lang w:val="fr-FR"/>
        </w:rPr>
        <w:t xml:space="preserve"> montre qu’« une expérience précoce (dans un environnement clinique et communautaire, selon l’auteur) augmentait le recrutement pour la pratique des soins de base et de la médecine en milieu rural »</w:t>
      </w:r>
      <w:r w:rsidRPr="004D1C1C">
        <w:rPr>
          <w:rStyle w:val="Funotenzeichen"/>
          <w:rFonts w:cs="Arial"/>
          <w:szCs w:val="20"/>
          <w:lang w:val="fr-FR"/>
        </w:rPr>
        <w:footnoteReference w:id="7"/>
      </w:r>
      <w:r w:rsidRPr="004D1C1C">
        <w:rPr>
          <w:szCs w:val="20"/>
          <w:lang w:val="fr-FR"/>
        </w:rPr>
        <w:t xml:space="preserve">. Par « expérience », on entend un contact humain « authentique » (réel, par opposition à </w:t>
      </w:r>
      <w:r w:rsidRPr="004D1C1C">
        <w:rPr>
          <w:szCs w:val="20"/>
          <w:lang w:val="fr-FR"/>
        </w:rPr>
        <w:lastRenderedPageBreak/>
        <w:t>un contact simulé) dans un contexte social ou clinique ». Et « précoce » signifie</w:t>
      </w:r>
      <w:r w:rsidR="004D1C1C">
        <w:rPr>
          <w:szCs w:val="20"/>
          <w:lang w:val="fr-FR"/>
        </w:rPr>
        <w:t xml:space="preserve"> </w:t>
      </w:r>
      <w:r w:rsidRPr="004D1C1C">
        <w:rPr>
          <w:szCs w:val="20"/>
          <w:lang w:val="fr-FR"/>
        </w:rPr>
        <w:t>: « ce que l’on considère traditionnellement comme la phase préclinique, habituellement les deux premières années »</w:t>
      </w:r>
      <w:r w:rsidRPr="004D1C1C">
        <w:rPr>
          <w:rStyle w:val="Funotenzeichen"/>
          <w:rFonts w:cs="Arial"/>
          <w:szCs w:val="20"/>
          <w:lang w:val="fr-FR"/>
        </w:rPr>
        <w:footnoteReference w:id="8"/>
      </w:r>
      <w:r w:rsidRPr="004D1C1C">
        <w:rPr>
          <w:szCs w:val="20"/>
          <w:lang w:val="fr-FR"/>
        </w:rPr>
        <w:t>.</w:t>
      </w:r>
    </w:p>
    <w:p w:rsidR="0045342B" w:rsidRPr="004D1C1C" w:rsidRDefault="0045342B" w:rsidP="0045342B">
      <w:pPr>
        <w:spacing w:after="0"/>
        <w:rPr>
          <w:szCs w:val="20"/>
          <w:lang w:val="fr-FR"/>
        </w:rPr>
      </w:pPr>
    </w:p>
    <w:p w:rsidR="0045342B" w:rsidRPr="004D1C1C" w:rsidRDefault="0045342B" w:rsidP="0045342B">
      <w:pPr>
        <w:spacing w:after="0"/>
        <w:rPr>
          <w:szCs w:val="20"/>
          <w:lang w:val="fr-FR"/>
        </w:rPr>
      </w:pPr>
    </w:p>
    <w:p w:rsidR="00500A30" w:rsidRPr="004D1C1C" w:rsidRDefault="00500A30" w:rsidP="0045342B">
      <w:pPr>
        <w:spacing w:after="0"/>
        <w:rPr>
          <w:b/>
          <w:szCs w:val="20"/>
          <w:lang w:val="fr-FR"/>
        </w:rPr>
      </w:pPr>
      <w:r w:rsidRPr="004D1C1C">
        <w:rPr>
          <w:b/>
          <w:szCs w:val="20"/>
          <w:lang w:val="fr-FR"/>
        </w:rPr>
        <w:t>Résumé</w:t>
      </w:r>
    </w:p>
    <w:p w:rsidR="0045342B" w:rsidRPr="004D1C1C" w:rsidRDefault="0045342B" w:rsidP="0045342B">
      <w:pPr>
        <w:spacing w:after="0"/>
        <w:rPr>
          <w:b/>
          <w:szCs w:val="20"/>
          <w:lang w:val="fr-FR"/>
        </w:rPr>
      </w:pPr>
    </w:p>
    <w:p w:rsidR="00500A30" w:rsidRPr="004D1C1C" w:rsidRDefault="00500A30" w:rsidP="0045342B">
      <w:pPr>
        <w:spacing w:after="0"/>
        <w:rPr>
          <w:szCs w:val="20"/>
          <w:lang w:val="fr-FR"/>
        </w:rPr>
      </w:pPr>
      <w:r w:rsidRPr="004D1C1C">
        <w:rPr>
          <w:szCs w:val="20"/>
          <w:lang w:val="fr-FR"/>
        </w:rPr>
        <w:t>Les deux études nous amènent à poser les questions suivantes</w:t>
      </w:r>
      <w:r w:rsidR="004D1C1C">
        <w:rPr>
          <w:szCs w:val="20"/>
          <w:lang w:val="fr-FR"/>
        </w:rPr>
        <w:t xml:space="preserve"> </w:t>
      </w:r>
      <w:r w:rsidRPr="004D1C1C">
        <w:rPr>
          <w:szCs w:val="20"/>
          <w:lang w:val="fr-FR"/>
        </w:rPr>
        <w:t>:</w:t>
      </w:r>
    </w:p>
    <w:p w:rsidR="00500A30" w:rsidRPr="004D1C1C" w:rsidRDefault="00500A30" w:rsidP="0045342B">
      <w:pPr>
        <w:pStyle w:val="Listenabsatz"/>
        <w:numPr>
          <w:ilvl w:val="0"/>
          <w:numId w:val="1"/>
        </w:numPr>
        <w:spacing w:after="0"/>
        <w:rPr>
          <w:szCs w:val="20"/>
          <w:lang w:val="fr-FR"/>
        </w:rPr>
      </w:pPr>
      <w:r w:rsidRPr="004D1C1C">
        <w:rPr>
          <w:szCs w:val="20"/>
          <w:lang w:val="fr-FR"/>
        </w:rPr>
        <w:t>Selon quels critères d’ordre général mesure-t-on si un établissement d’enseignement obtient ou non le supplément pour créer de nouvelles places pour les étudiants en médecine</w:t>
      </w:r>
      <w:r w:rsidR="00047D37" w:rsidRPr="004D1C1C">
        <w:rPr>
          <w:szCs w:val="20"/>
          <w:lang w:val="fr-FR"/>
        </w:rPr>
        <w:t xml:space="preserve"> </w:t>
      </w:r>
      <w:r w:rsidRPr="004D1C1C">
        <w:rPr>
          <w:szCs w:val="20"/>
          <w:lang w:val="fr-FR"/>
        </w:rPr>
        <w:t>?</w:t>
      </w:r>
    </w:p>
    <w:p w:rsidR="00500A30" w:rsidRPr="004D1C1C" w:rsidRDefault="00500A30" w:rsidP="0045342B">
      <w:pPr>
        <w:pStyle w:val="Listenabsatz"/>
        <w:numPr>
          <w:ilvl w:val="0"/>
          <w:numId w:val="1"/>
        </w:numPr>
        <w:spacing w:after="0"/>
        <w:rPr>
          <w:szCs w:val="20"/>
          <w:lang w:val="fr-FR"/>
        </w:rPr>
      </w:pPr>
      <w:r w:rsidRPr="004D1C1C">
        <w:rPr>
          <w:szCs w:val="20"/>
          <w:lang w:val="fr-FR"/>
        </w:rPr>
        <w:t xml:space="preserve">Dans ces critères, quel rôle la volonté des établissements d’enseignement </w:t>
      </w:r>
      <w:bookmarkStart w:id="0" w:name="_GoBack"/>
      <w:bookmarkEnd w:id="0"/>
      <w:r w:rsidRPr="004D1C1C">
        <w:rPr>
          <w:szCs w:val="20"/>
          <w:lang w:val="fr-FR"/>
        </w:rPr>
        <w:t>d’augmenter le nombre de médecins de famille joue-t-elle</w:t>
      </w:r>
      <w:r w:rsidR="004D1C1C">
        <w:rPr>
          <w:szCs w:val="20"/>
          <w:lang w:val="fr-FR"/>
        </w:rPr>
        <w:t xml:space="preserve"> </w:t>
      </w:r>
      <w:r w:rsidRPr="004D1C1C">
        <w:rPr>
          <w:szCs w:val="20"/>
          <w:lang w:val="fr-FR"/>
        </w:rPr>
        <w:t xml:space="preserve">? </w:t>
      </w:r>
    </w:p>
    <w:p w:rsidR="00500A30" w:rsidRPr="004D1C1C" w:rsidRDefault="00500A30" w:rsidP="0045342B">
      <w:pPr>
        <w:pStyle w:val="Listenabsatz"/>
        <w:numPr>
          <w:ilvl w:val="0"/>
          <w:numId w:val="1"/>
        </w:numPr>
        <w:spacing w:after="0"/>
        <w:rPr>
          <w:szCs w:val="20"/>
          <w:lang w:val="fr-FR"/>
        </w:rPr>
      </w:pPr>
      <w:r w:rsidRPr="004D1C1C">
        <w:rPr>
          <w:szCs w:val="20"/>
          <w:lang w:val="fr-FR"/>
        </w:rPr>
        <w:t>Quelles sont les mesures appropriées pour inciter davantage d’étudiants à embrasser la carrière de médecin de famille</w:t>
      </w:r>
      <w:r w:rsidR="004D1C1C">
        <w:rPr>
          <w:szCs w:val="20"/>
          <w:lang w:val="fr-FR"/>
        </w:rPr>
        <w:t xml:space="preserve"> </w:t>
      </w:r>
      <w:r w:rsidRPr="004D1C1C">
        <w:rPr>
          <w:szCs w:val="20"/>
          <w:lang w:val="fr-FR"/>
        </w:rPr>
        <w:t xml:space="preserve">? </w:t>
      </w:r>
    </w:p>
    <w:p w:rsidR="00500A30" w:rsidRPr="004D1C1C" w:rsidRDefault="00500A30" w:rsidP="0045342B">
      <w:pPr>
        <w:pStyle w:val="Listenabsatz"/>
        <w:numPr>
          <w:ilvl w:val="0"/>
          <w:numId w:val="1"/>
        </w:numPr>
        <w:spacing w:after="0"/>
        <w:rPr>
          <w:szCs w:val="20"/>
          <w:lang w:val="fr-FR"/>
        </w:rPr>
      </w:pPr>
      <w:r w:rsidRPr="004D1C1C">
        <w:rPr>
          <w:szCs w:val="20"/>
          <w:lang w:val="fr-FR"/>
        </w:rPr>
        <w:t>A quelles études se réfère-t-on pour définir ces mesures</w:t>
      </w:r>
      <w:r w:rsidR="004D1C1C">
        <w:rPr>
          <w:szCs w:val="20"/>
          <w:lang w:val="fr-FR"/>
        </w:rPr>
        <w:t xml:space="preserve"> </w:t>
      </w:r>
      <w:r w:rsidRPr="004D1C1C">
        <w:rPr>
          <w:szCs w:val="20"/>
          <w:lang w:val="fr-FR"/>
        </w:rPr>
        <w:t xml:space="preserve">? </w:t>
      </w:r>
    </w:p>
    <w:p w:rsidR="00500A30" w:rsidRPr="004D1C1C" w:rsidRDefault="00500A30" w:rsidP="0045342B">
      <w:pPr>
        <w:pStyle w:val="Listenabsatz"/>
        <w:numPr>
          <w:ilvl w:val="0"/>
          <w:numId w:val="1"/>
        </w:numPr>
        <w:spacing w:after="0"/>
        <w:rPr>
          <w:szCs w:val="20"/>
          <w:lang w:val="fr-FR"/>
        </w:rPr>
      </w:pPr>
      <w:r w:rsidRPr="004D1C1C">
        <w:rPr>
          <w:szCs w:val="20"/>
          <w:lang w:val="fr-FR"/>
        </w:rPr>
        <w:t>Quelle importance attribuer aux critères « Programmes longitudinaux » et « Expériences cliniques précoces »</w:t>
      </w:r>
      <w:r w:rsidR="00047D37" w:rsidRPr="004D1C1C">
        <w:rPr>
          <w:szCs w:val="20"/>
          <w:lang w:val="fr-FR"/>
        </w:rPr>
        <w:t xml:space="preserve"> </w:t>
      </w:r>
      <w:r w:rsidRPr="004D1C1C">
        <w:rPr>
          <w:szCs w:val="20"/>
          <w:lang w:val="fr-FR"/>
        </w:rPr>
        <w:t xml:space="preserve">? </w:t>
      </w:r>
    </w:p>
    <w:p w:rsidR="00500A30" w:rsidRPr="0045342B" w:rsidRDefault="00500A30" w:rsidP="0045342B">
      <w:pPr>
        <w:spacing w:after="0"/>
        <w:rPr>
          <w:szCs w:val="20"/>
          <w:lang w:val="fr-FR"/>
        </w:rPr>
      </w:pPr>
      <w:r w:rsidRPr="0045342B">
        <w:rPr>
          <w:szCs w:val="20"/>
          <w:lang w:val="fr-FR"/>
        </w:rPr>
        <w:t xml:space="preserve"> </w:t>
      </w:r>
    </w:p>
    <w:sectPr w:rsidR="00500A30" w:rsidRPr="0045342B" w:rsidSect="0045342B">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30" w:rsidRDefault="00500A30" w:rsidP="00D22FC8">
      <w:pPr>
        <w:spacing w:after="0" w:line="240" w:lineRule="auto"/>
      </w:pPr>
      <w:r>
        <w:separator/>
      </w:r>
    </w:p>
  </w:endnote>
  <w:endnote w:type="continuationSeparator" w:id="0">
    <w:p w:rsidR="00500A30" w:rsidRDefault="00500A30" w:rsidP="00D2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30" w:rsidRDefault="00500A30" w:rsidP="00D22FC8">
      <w:pPr>
        <w:spacing w:after="0" w:line="240" w:lineRule="auto"/>
      </w:pPr>
      <w:r>
        <w:separator/>
      </w:r>
    </w:p>
  </w:footnote>
  <w:footnote w:type="continuationSeparator" w:id="0">
    <w:p w:rsidR="00500A30" w:rsidRDefault="00500A30" w:rsidP="00D22FC8">
      <w:pPr>
        <w:spacing w:after="0" w:line="240" w:lineRule="auto"/>
      </w:pPr>
      <w:r>
        <w:continuationSeparator/>
      </w:r>
    </w:p>
  </w:footnote>
  <w:footnote w:id="1">
    <w:p w:rsidR="00500A30" w:rsidRPr="004D1C1C" w:rsidRDefault="00500A30" w:rsidP="0045342B">
      <w:pPr>
        <w:pStyle w:val="Funotentext"/>
        <w:ind w:left="142" w:hanging="142"/>
        <w:rPr>
          <w:sz w:val="16"/>
          <w:szCs w:val="16"/>
          <w:lang w:val="fr-CH"/>
        </w:rPr>
      </w:pPr>
      <w:r w:rsidRPr="0045342B">
        <w:rPr>
          <w:rStyle w:val="Funotenzeichen"/>
          <w:rFonts w:cs="Arial"/>
          <w:sz w:val="16"/>
          <w:szCs w:val="16"/>
        </w:rPr>
        <w:footnoteRef/>
      </w:r>
      <w:r w:rsidRPr="0045342B">
        <w:rPr>
          <w:sz w:val="16"/>
          <w:szCs w:val="16"/>
          <w:lang w:val="en-GB"/>
        </w:rPr>
        <w:t xml:space="preserve"> Eva </w:t>
      </w:r>
      <w:proofErr w:type="spellStart"/>
      <w:r w:rsidRPr="0045342B">
        <w:rPr>
          <w:sz w:val="16"/>
          <w:szCs w:val="16"/>
          <w:lang w:val="en-GB"/>
        </w:rPr>
        <w:t>Pfarrwaller</w:t>
      </w:r>
      <w:proofErr w:type="spellEnd"/>
      <w:r w:rsidRPr="0045342B">
        <w:rPr>
          <w:sz w:val="16"/>
          <w:szCs w:val="16"/>
          <w:lang w:val="en-GB"/>
        </w:rPr>
        <w:t xml:space="preserve">, M.D., Johanna Sommer, M.D., Christopher Chung, M.D., Hubert Maisonneuve, M.D., Mathieu </w:t>
      </w:r>
      <w:proofErr w:type="spellStart"/>
      <w:r w:rsidRPr="0045342B">
        <w:rPr>
          <w:sz w:val="16"/>
          <w:szCs w:val="16"/>
          <w:lang w:val="en-GB"/>
        </w:rPr>
        <w:t>Nendaz</w:t>
      </w:r>
      <w:proofErr w:type="spellEnd"/>
      <w:r w:rsidRPr="0045342B">
        <w:rPr>
          <w:sz w:val="16"/>
          <w:szCs w:val="16"/>
          <w:lang w:val="en-GB"/>
        </w:rPr>
        <w:t xml:space="preserve">, M.D., M.H.P.E., </w:t>
      </w:r>
      <w:proofErr w:type="spellStart"/>
      <w:r w:rsidRPr="0045342B">
        <w:rPr>
          <w:sz w:val="16"/>
          <w:szCs w:val="16"/>
          <w:lang w:val="en-GB"/>
        </w:rPr>
        <w:t>Noëlle</w:t>
      </w:r>
      <w:proofErr w:type="spellEnd"/>
      <w:r w:rsidRPr="0045342B">
        <w:rPr>
          <w:sz w:val="16"/>
          <w:szCs w:val="16"/>
          <w:lang w:val="en-GB"/>
        </w:rPr>
        <w:t xml:space="preserve"> </w:t>
      </w:r>
      <w:proofErr w:type="spellStart"/>
      <w:r w:rsidRPr="0045342B">
        <w:rPr>
          <w:sz w:val="16"/>
          <w:szCs w:val="16"/>
          <w:lang w:val="en-GB"/>
        </w:rPr>
        <w:t>Junod</w:t>
      </w:r>
      <w:proofErr w:type="spellEnd"/>
      <w:r w:rsidRPr="0045342B">
        <w:rPr>
          <w:sz w:val="16"/>
          <w:szCs w:val="16"/>
          <w:lang w:val="en-GB"/>
        </w:rPr>
        <w:t xml:space="preserve"> </w:t>
      </w:r>
      <w:proofErr w:type="spellStart"/>
      <w:r w:rsidRPr="0045342B">
        <w:rPr>
          <w:sz w:val="16"/>
          <w:szCs w:val="16"/>
          <w:lang w:val="en-GB"/>
        </w:rPr>
        <w:t>Perron</w:t>
      </w:r>
      <w:proofErr w:type="spellEnd"/>
      <w:r w:rsidRPr="0045342B">
        <w:rPr>
          <w:sz w:val="16"/>
          <w:szCs w:val="16"/>
          <w:lang w:val="en-GB"/>
        </w:rPr>
        <w:t xml:space="preserve">, M.D., Ph.D., et Dagmar M. Haller, M.D., </w:t>
      </w:r>
      <w:proofErr w:type="spellStart"/>
      <w:r w:rsidRPr="0045342B">
        <w:rPr>
          <w:sz w:val="16"/>
          <w:szCs w:val="16"/>
          <w:lang w:val="en-GB"/>
        </w:rPr>
        <w:t>Ph.D</w:t>
      </w:r>
      <w:proofErr w:type="spellEnd"/>
      <w:r w:rsidRPr="0045342B">
        <w:rPr>
          <w:sz w:val="16"/>
          <w:szCs w:val="16"/>
          <w:lang w:val="en-GB"/>
        </w:rPr>
        <w:t xml:space="preserve">, Impact of Interventions to Increase the Proportion of Medical Students </w:t>
      </w:r>
      <w:r w:rsidRPr="004D1C1C">
        <w:rPr>
          <w:sz w:val="16"/>
          <w:szCs w:val="16"/>
          <w:lang w:val="en-GB"/>
        </w:rPr>
        <w:t xml:space="preserve">Choosing a Primary Care Career: A Systematic Review. </w:t>
      </w:r>
      <w:r w:rsidRPr="004D1C1C">
        <w:rPr>
          <w:sz w:val="16"/>
          <w:szCs w:val="16"/>
          <w:lang w:val="fr-CH"/>
        </w:rPr>
        <w:t xml:space="preserve">In: Journal of General </w:t>
      </w:r>
      <w:proofErr w:type="spellStart"/>
      <w:r w:rsidRPr="004D1C1C">
        <w:rPr>
          <w:sz w:val="16"/>
          <w:szCs w:val="16"/>
          <w:lang w:val="fr-CH"/>
        </w:rPr>
        <w:t>Internal</w:t>
      </w:r>
      <w:proofErr w:type="spellEnd"/>
      <w:r w:rsidRPr="004D1C1C">
        <w:rPr>
          <w:sz w:val="16"/>
          <w:szCs w:val="16"/>
          <w:lang w:val="fr-CH"/>
        </w:rPr>
        <w:t xml:space="preserve"> </w:t>
      </w:r>
      <w:proofErr w:type="spellStart"/>
      <w:r w:rsidRPr="004D1C1C">
        <w:rPr>
          <w:sz w:val="16"/>
          <w:szCs w:val="16"/>
          <w:lang w:val="fr-CH"/>
        </w:rPr>
        <w:t>Medicine</w:t>
      </w:r>
      <w:proofErr w:type="spellEnd"/>
      <w:r w:rsidRPr="004D1C1C">
        <w:rPr>
          <w:sz w:val="16"/>
          <w:szCs w:val="16"/>
          <w:lang w:val="fr-CH"/>
        </w:rPr>
        <w:t xml:space="preserve">, p. 1349ss., juillet 2015. </w:t>
      </w:r>
    </w:p>
  </w:footnote>
  <w:footnote w:id="2">
    <w:p w:rsidR="00500A30" w:rsidRPr="004D1C1C" w:rsidRDefault="00500A30" w:rsidP="0045342B">
      <w:pPr>
        <w:pStyle w:val="Funotentext"/>
        <w:ind w:left="142" w:hanging="142"/>
        <w:rPr>
          <w:sz w:val="16"/>
          <w:szCs w:val="16"/>
          <w:lang w:val="fr-CH"/>
        </w:rPr>
      </w:pPr>
      <w:r w:rsidRPr="004D1C1C">
        <w:rPr>
          <w:rStyle w:val="Funotenzeichen"/>
          <w:rFonts w:cs="Arial"/>
          <w:sz w:val="16"/>
          <w:szCs w:val="16"/>
        </w:rPr>
        <w:footnoteRef/>
      </w:r>
      <w:r w:rsidRPr="004D1C1C">
        <w:rPr>
          <w:sz w:val="16"/>
          <w:szCs w:val="16"/>
          <w:lang w:val="fr-CH"/>
        </w:rPr>
        <w:t xml:space="preserve"> Voir à ce sujet le résumé en allemand de l’auteur sous </w:t>
      </w:r>
      <w:hyperlink r:id="rId1" w:history="1">
        <w:r w:rsidRPr="004D1C1C">
          <w:rPr>
            <w:rStyle w:val="Hyperlink"/>
            <w:rFonts w:cs="Arial"/>
            <w:sz w:val="16"/>
            <w:szCs w:val="16"/>
            <w:lang w:val="fr-CH"/>
          </w:rPr>
          <w:t>http://bit.ly/1X8qijj</w:t>
        </w:r>
      </w:hyperlink>
      <w:r w:rsidRPr="004D1C1C">
        <w:rPr>
          <w:sz w:val="16"/>
          <w:szCs w:val="16"/>
          <w:lang w:val="fr-CH"/>
        </w:rPr>
        <w:t xml:space="preserve">.  </w:t>
      </w:r>
    </w:p>
  </w:footnote>
  <w:footnote w:id="3">
    <w:p w:rsidR="00500A30" w:rsidRPr="004D1C1C" w:rsidRDefault="00500A30" w:rsidP="0045342B">
      <w:pPr>
        <w:pStyle w:val="Funotentext"/>
        <w:ind w:left="142" w:hanging="142"/>
        <w:rPr>
          <w:sz w:val="16"/>
          <w:szCs w:val="16"/>
          <w:lang w:val="fr-CH"/>
        </w:rPr>
      </w:pPr>
      <w:r w:rsidRPr="004D1C1C">
        <w:rPr>
          <w:rStyle w:val="Funotenzeichen"/>
          <w:rFonts w:cs="Arial"/>
          <w:sz w:val="16"/>
          <w:szCs w:val="16"/>
        </w:rPr>
        <w:footnoteRef/>
      </w:r>
      <w:r w:rsidRPr="004D1C1C">
        <w:rPr>
          <w:sz w:val="16"/>
          <w:szCs w:val="16"/>
          <w:lang w:val="fr-CH"/>
        </w:rPr>
        <w:t xml:space="preserve"> Ibid.</w:t>
      </w:r>
    </w:p>
  </w:footnote>
  <w:footnote w:id="4">
    <w:p w:rsidR="00500A30" w:rsidRPr="004D1C1C" w:rsidRDefault="00500A30" w:rsidP="0045342B">
      <w:pPr>
        <w:pStyle w:val="Funotentext"/>
        <w:ind w:left="142" w:hanging="142"/>
        <w:rPr>
          <w:sz w:val="16"/>
          <w:szCs w:val="16"/>
          <w:lang w:val="fr-CH"/>
        </w:rPr>
      </w:pPr>
      <w:r w:rsidRPr="004D1C1C">
        <w:rPr>
          <w:rStyle w:val="Funotenzeichen"/>
          <w:rFonts w:cs="Arial"/>
          <w:sz w:val="16"/>
          <w:szCs w:val="16"/>
        </w:rPr>
        <w:footnoteRef/>
      </w:r>
      <w:r w:rsidRPr="004D1C1C">
        <w:rPr>
          <w:sz w:val="16"/>
          <w:szCs w:val="16"/>
          <w:lang w:val="fr-CH"/>
        </w:rPr>
        <w:t xml:space="preserve"> Ibid.</w:t>
      </w:r>
    </w:p>
  </w:footnote>
  <w:footnote w:id="5">
    <w:p w:rsidR="00500A30" w:rsidRPr="0045342B" w:rsidRDefault="00500A30" w:rsidP="0045342B">
      <w:pPr>
        <w:pStyle w:val="Funotentext"/>
        <w:ind w:left="142" w:hanging="142"/>
        <w:rPr>
          <w:sz w:val="16"/>
          <w:szCs w:val="16"/>
          <w:lang w:val="fr-CH"/>
        </w:rPr>
      </w:pPr>
      <w:r w:rsidRPr="004D1C1C">
        <w:rPr>
          <w:rStyle w:val="Funotenzeichen"/>
          <w:rFonts w:cs="Arial"/>
          <w:sz w:val="16"/>
          <w:szCs w:val="16"/>
        </w:rPr>
        <w:footnoteRef/>
      </w:r>
      <w:r w:rsidRPr="004D1C1C">
        <w:rPr>
          <w:sz w:val="16"/>
          <w:szCs w:val="16"/>
          <w:lang w:val="fr-CH"/>
        </w:rPr>
        <w:t xml:space="preserve"> Ibid.</w:t>
      </w:r>
      <w:r w:rsidRPr="0045342B">
        <w:rPr>
          <w:sz w:val="16"/>
          <w:szCs w:val="16"/>
          <w:lang w:val="fr-CH"/>
        </w:rPr>
        <w:t xml:space="preserve"> </w:t>
      </w:r>
    </w:p>
  </w:footnote>
  <w:footnote w:id="6">
    <w:p w:rsidR="00500A30" w:rsidRPr="0045342B" w:rsidRDefault="00500A30" w:rsidP="0045342B">
      <w:pPr>
        <w:pStyle w:val="Funotentext"/>
        <w:ind w:left="142" w:hanging="142"/>
        <w:rPr>
          <w:sz w:val="16"/>
          <w:szCs w:val="16"/>
          <w:lang w:val="fr-CH"/>
        </w:rPr>
      </w:pPr>
      <w:r w:rsidRPr="0045342B">
        <w:rPr>
          <w:rStyle w:val="Funotenzeichen"/>
          <w:rFonts w:cs="Arial"/>
          <w:sz w:val="16"/>
          <w:szCs w:val="16"/>
        </w:rPr>
        <w:footnoteRef/>
      </w:r>
      <w:r w:rsidRPr="0045342B">
        <w:rPr>
          <w:sz w:val="16"/>
          <w:szCs w:val="16"/>
          <w:lang w:val="en-GB"/>
        </w:rPr>
        <w:t xml:space="preserve"> </w:t>
      </w:r>
      <w:proofErr w:type="spellStart"/>
      <w:r w:rsidRPr="0045342B">
        <w:rPr>
          <w:sz w:val="16"/>
          <w:szCs w:val="16"/>
          <w:lang w:val="en-GB"/>
        </w:rPr>
        <w:t>T.Dornan</w:t>
      </w:r>
      <w:proofErr w:type="spellEnd"/>
      <w:r w:rsidRPr="0045342B">
        <w:rPr>
          <w:sz w:val="16"/>
          <w:szCs w:val="16"/>
          <w:lang w:val="en-GB"/>
        </w:rPr>
        <w:t xml:space="preserve"> </w:t>
      </w:r>
      <w:proofErr w:type="spellStart"/>
      <w:r w:rsidRPr="0045342B">
        <w:rPr>
          <w:sz w:val="16"/>
          <w:szCs w:val="16"/>
          <w:lang w:val="en-GB"/>
        </w:rPr>
        <w:t>u.a</w:t>
      </w:r>
      <w:proofErr w:type="spellEnd"/>
      <w:r w:rsidRPr="0045342B">
        <w:rPr>
          <w:sz w:val="16"/>
          <w:szCs w:val="16"/>
          <w:lang w:val="en-GB"/>
        </w:rPr>
        <w:t>. How can experience in clinical and community settings contribute to early medical education? In: Medical Teacher, Vol. 28, No. 1, 2006, pp. 3–18</w:t>
      </w:r>
    </w:p>
  </w:footnote>
  <w:footnote w:id="7">
    <w:p w:rsidR="00500A30" w:rsidRPr="0045342B" w:rsidRDefault="00500A30" w:rsidP="0045342B">
      <w:pPr>
        <w:pStyle w:val="Funotentext"/>
        <w:ind w:left="142" w:hanging="142"/>
        <w:rPr>
          <w:sz w:val="16"/>
          <w:szCs w:val="16"/>
        </w:rPr>
      </w:pPr>
      <w:r w:rsidRPr="0045342B">
        <w:rPr>
          <w:rStyle w:val="Funotenzeichen"/>
          <w:rFonts w:cs="Arial"/>
          <w:sz w:val="16"/>
          <w:szCs w:val="16"/>
        </w:rPr>
        <w:footnoteRef/>
      </w:r>
      <w:r w:rsidRPr="0045342B">
        <w:rPr>
          <w:sz w:val="16"/>
          <w:szCs w:val="16"/>
        </w:rPr>
        <w:t xml:space="preserve"> Ibid. p.3. </w:t>
      </w:r>
    </w:p>
  </w:footnote>
  <w:footnote w:id="8">
    <w:p w:rsidR="00500A30" w:rsidRPr="0045342B" w:rsidRDefault="00500A30" w:rsidP="0045342B">
      <w:pPr>
        <w:pStyle w:val="Funotentext"/>
        <w:ind w:left="142" w:hanging="142"/>
        <w:rPr>
          <w:sz w:val="16"/>
          <w:szCs w:val="16"/>
        </w:rPr>
      </w:pPr>
      <w:r w:rsidRPr="0045342B">
        <w:rPr>
          <w:rStyle w:val="Funotenzeichen"/>
          <w:rFonts w:cs="Arial"/>
          <w:sz w:val="16"/>
          <w:szCs w:val="16"/>
        </w:rPr>
        <w:footnoteRef/>
      </w:r>
      <w:r w:rsidRPr="0045342B">
        <w:rPr>
          <w:sz w:val="16"/>
          <w:szCs w:val="16"/>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25DB6"/>
    <w:multiLevelType w:val="hybridMultilevel"/>
    <w:tmpl w:val="CFA221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C"/>
    <w:rsid w:val="000074DA"/>
    <w:rsid w:val="00047D37"/>
    <w:rsid w:val="000A29C4"/>
    <w:rsid w:val="000A45BA"/>
    <w:rsid w:val="000C2BA4"/>
    <w:rsid w:val="000F508E"/>
    <w:rsid w:val="00125DEA"/>
    <w:rsid w:val="001505B9"/>
    <w:rsid w:val="00155BC1"/>
    <w:rsid w:val="001A49A9"/>
    <w:rsid w:val="001A4EFE"/>
    <w:rsid w:val="001E6E50"/>
    <w:rsid w:val="002B6CBC"/>
    <w:rsid w:val="002F22CD"/>
    <w:rsid w:val="00321478"/>
    <w:rsid w:val="00337CB7"/>
    <w:rsid w:val="0037097B"/>
    <w:rsid w:val="003B25EE"/>
    <w:rsid w:val="0042331D"/>
    <w:rsid w:val="00441F2F"/>
    <w:rsid w:val="0045342B"/>
    <w:rsid w:val="00461F2D"/>
    <w:rsid w:val="004D1C1C"/>
    <w:rsid w:val="00500A30"/>
    <w:rsid w:val="00530317"/>
    <w:rsid w:val="00560CB0"/>
    <w:rsid w:val="005B7A78"/>
    <w:rsid w:val="005C6ED4"/>
    <w:rsid w:val="005F5F69"/>
    <w:rsid w:val="0067559C"/>
    <w:rsid w:val="00693FE0"/>
    <w:rsid w:val="006C4035"/>
    <w:rsid w:val="006E1451"/>
    <w:rsid w:val="006F6274"/>
    <w:rsid w:val="00722691"/>
    <w:rsid w:val="007427C6"/>
    <w:rsid w:val="00750AF7"/>
    <w:rsid w:val="007B10C1"/>
    <w:rsid w:val="00803C31"/>
    <w:rsid w:val="00823A1B"/>
    <w:rsid w:val="008318A4"/>
    <w:rsid w:val="00875514"/>
    <w:rsid w:val="00883787"/>
    <w:rsid w:val="009278D3"/>
    <w:rsid w:val="0093712B"/>
    <w:rsid w:val="00946184"/>
    <w:rsid w:val="00946EBF"/>
    <w:rsid w:val="009618B5"/>
    <w:rsid w:val="00995F5F"/>
    <w:rsid w:val="009A6022"/>
    <w:rsid w:val="009B63E2"/>
    <w:rsid w:val="009E6D4B"/>
    <w:rsid w:val="00A0488B"/>
    <w:rsid w:val="00A65056"/>
    <w:rsid w:val="00AA7DBD"/>
    <w:rsid w:val="00AD7105"/>
    <w:rsid w:val="00AE2A75"/>
    <w:rsid w:val="00AE733A"/>
    <w:rsid w:val="00B30E8B"/>
    <w:rsid w:val="00B428CE"/>
    <w:rsid w:val="00B7460C"/>
    <w:rsid w:val="00B87B18"/>
    <w:rsid w:val="00BA2000"/>
    <w:rsid w:val="00BD7A30"/>
    <w:rsid w:val="00C1314E"/>
    <w:rsid w:val="00C262B3"/>
    <w:rsid w:val="00C44988"/>
    <w:rsid w:val="00C55E1F"/>
    <w:rsid w:val="00C83DCD"/>
    <w:rsid w:val="00CC0F58"/>
    <w:rsid w:val="00D22FC8"/>
    <w:rsid w:val="00D64D9B"/>
    <w:rsid w:val="00D941DF"/>
    <w:rsid w:val="00D94BFA"/>
    <w:rsid w:val="00DE754F"/>
    <w:rsid w:val="00E16D14"/>
    <w:rsid w:val="00E879F5"/>
    <w:rsid w:val="00EE0F25"/>
    <w:rsid w:val="00F42AD9"/>
    <w:rsid w:val="00F46C9C"/>
    <w:rsid w:val="00F47162"/>
    <w:rsid w:val="00F624A7"/>
    <w:rsid w:val="00F774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3E827-B1B9-4D22-9099-6EB4978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F69"/>
    <w:pPr>
      <w:spacing w:after="120" w:line="300" w:lineRule="exact"/>
    </w:pPr>
    <w:rPr>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22FC8"/>
    <w:pPr>
      <w:spacing w:after="0" w:line="240" w:lineRule="auto"/>
    </w:pPr>
    <w:rPr>
      <w:szCs w:val="20"/>
    </w:rPr>
  </w:style>
  <w:style w:type="character" w:customStyle="1" w:styleId="FunotentextZchn">
    <w:name w:val="Fußnotentext Zchn"/>
    <w:basedOn w:val="Absatz-Standardschriftart"/>
    <w:link w:val="Funotentext"/>
    <w:uiPriority w:val="99"/>
    <w:semiHidden/>
    <w:locked/>
    <w:rsid w:val="00D22FC8"/>
    <w:rPr>
      <w:rFonts w:cs="Times New Roman"/>
      <w:sz w:val="20"/>
      <w:szCs w:val="20"/>
    </w:rPr>
  </w:style>
  <w:style w:type="character" w:styleId="Funotenzeichen">
    <w:name w:val="footnote reference"/>
    <w:basedOn w:val="Absatz-Standardschriftart"/>
    <w:uiPriority w:val="99"/>
    <w:semiHidden/>
    <w:rsid w:val="00D22FC8"/>
    <w:rPr>
      <w:rFonts w:cs="Times New Roman"/>
      <w:vertAlign w:val="superscript"/>
    </w:rPr>
  </w:style>
  <w:style w:type="character" w:styleId="Hyperlink">
    <w:name w:val="Hyperlink"/>
    <w:basedOn w:val="Absatz-Standardschriftart"/>
    <w:uiPriority w:val="99"/>
    <w:rsid w:val="00F46C9C"/>
    <w:rPr>
      <w:rFonts w:cs="Times New Roman"/>
      <w:color w:val="0563C1"/>
      <w:u w:val="single"/>
    </w:rPr>
  </w:style>
  <w:style w:type="character" w:styleId="BesuchterHyperlink">
    <w:name w:val="FollowedHyperlink"/>
    <w:basedOn w:val="Absatz-Standardschriftart"/>
    <w:uiPriority w:val="99"/>
    <w:semiHidden/>
    <w:rsid w:val="00F46C9C"/>
    <w:rPr>
      <w:rFonts w:cs="Times New Roman"/>
      <w:color w:val="954F72"/>
      <w:u w:val="single"/>
    </w:rPr>
  </w:style>
  <w:style w:type="paragraph" w:styleId="Listenabsatz">
    <w:name w:val="List Paragraph"/>
    <w:basedOn w:val="Standard"/>
    <w:uiPriority w:val="99"/>
    <w:qFormat/>
    <w:rsid w:val="0082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C148687D-6B8A-4B2B-BA60-13947A55F3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it.ly/1X8qij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Comment conquérir les médecins de famille</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conquérir les médecins de famille</dc:title>
  <dc:subject/>
  <dc:creator>Bruno Weber</dc:creator>
  <cp:keywords/>
  <dc:description/>
  <cp:lastModifiedBy>Linda Rosenkranz</cp:lastModifiedBy>
  <cp:revision>3</cp:revision>
  <dcterms:created xsi:type="dcterms:W3CDTF">2016-06-27T12:26:00Z</dcterms:created>
  <dcterms:modified xsi:type="dcterms:W3CDTF">2016-06-27T13:37:00Z</dcterms:modified>
</cp:coreProperties>
</file>