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DC" w:rsidRPr="000712DF" w:rsidRDefault="003920DC" w:rsidP="00FA2254">
      <w:pPr>
        <w:spacing w:after="0" w:line="300" w:lineRule="atLeast"/>
        <w:rPr>
          <w:rFonts w:ascii="Arial" w:hAnsi="Arial" w:cs="Arial"/>
          <w:b/>
          <w:bCs/>
          <w:sz w:val="30"/>
          <w:szCs w:val="30"/>
          <w:lang w:val="fr-FR"/>
        </w:rPr>
      </w:pPr>
    </w:p>
    <w:p w:rsidR="003920DC" w:rsidRPr="000712DF" w:rsidRDefault="003920DC" w:rsidP="00FA2254">
      <w:pPr>
        <w:spacing w:after="0" w:line="300" w:lineRule="atLeast"/>
        <w:rPr>
          <w:rFonts w:ascii="Arial" w:hAnsi="Arial" w:cs="Arial"/>
          <w:b/>
          <w:bCs/>
          <w:sz w:val="30"/>
          <w:szCs w:val="30"/>
          <w:lang w:val="fr-FR"/>
        </w:rPr>
      </w:pPr>
    </w:p>
    <w:p w:rsidR="003920DC" w:rsidRPr="000712DF" w:rsidRDefault="003920DC" w:rsidP="00FA2254">
      <w:pPr>
        <w:spacing w:after="0" w:line="300" w:lineRule="atLeast"/>
        <w:rPr>
          <w:rFonts w:ascii="Arial" w:hAnsi="Arial" w:cs="Arial"/>
          <w:b/>
          <w:bCs/>
          <w:sz w:val="30"/>
          <w:szCs w:val="30"/>
          <w:lang w:val="fr-FR"/>
        </w:rPr>
      </w:pPr>
    </w:p>
    <w:p w:rsidR="003920DC" w:rsidRPr="000712DF" w:rsidRDefault="003920DC" w:rsidP="00FA2254">
      <w:pPr>
        <w:spacing w:after="0" w:line="300" w:lineRule="atLeast"/>
        <w:rPr>
          <w:rFonts w:ascii="Arial" w:hAnsi="Arial" w:cs="Arial"/>
          <w:b/>
          <w:bCs/>
          <w:sz w:val="30"/>
          <w:szCs w:val="30"/>
          <w:lang w:val="fr-FR"/>
        </w:rPr>
      </w:pPr>
    </w:p>
    <w:p w:rsidR="003920DC" w:rsidRPr="000712DF" w:rsidRDefault="003920DC" w:rsidP="00FA2254">
      <w:pPr>
        <w:spacing w:after="0" w:line="300" w:lineRule="atLeast"/>
        <w:rPr>
          <w:rFonts w:ascii="Arial" w:hAnsi="Arial" w:cs="Arial"/>
          <w:b/>
          <w:bCs/>
          <w:sz w:val="30"/>
          <w:szCs w:val="30"/>
          <w:lang w:val="fr-FR"/>
        </w:rPr>
      </w:pPr>
    </w:p>
    <w:p w:rsidR="003920DC" w:rsidRPr="000712DF" w:rsidRDefault="003920DC" w:rsidP="00FA2254">
      <w:pPr>
        <w:spacing w:after="0" w:line="300" w:lineRule="atLeast"/>
        <w:rPr>
          <w:rFonts w:ascii="Arial" w:hAnsi="Arial" w:cs="Arial"/>
          <w:b/>
          <w:bCs/>
          <w:sz w:val="30"/>
          <w:szCs w:val="30"/>
          <w:lang w:val="fr-FR"/>
        </w:rPr>
      </w:pPr>
    </w:p>
    <w:p w:rsidR="003920DC" w:rsidRPr="000712DF" w:rsidRDefault="003920DC" w:rsidP="00FA2254">
      <w:pPr>
        <w:spacing w:after="0" w:line="300" w:lineRule="atLeast"/>
        <w:rPr>
          <w:rFonts w:ascii="Arial" w:hAnsi="Arial" w:cs="Arial"/>
          <w:b/>
          <w:bCs/>
          <w:sz w:val="30"/>
          <w:szCs w:val="30"/>
          <w:lang w:val="fr-FR"/>
        </w:rPr>
      </w:pPr>
      <w:r w:rsidRPr="000712DF">
        <w:rPr>
          <w:rFonts w:ascii="Arial" w:hAnsi="Arial" w:cs="Arial"/>
          <w:b/>
          <w:bCs/>
          <w:sz w:val="30"/>
          <w:szCs w:val="30"/>
          <w:lang w:val="fr-FR"/>
        </w:rPr>
        <w:t>Des décisions financières lourdes de conséquences seront prises en 2014</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b/>
          <w:bCs/>
          <w:sz w:val="20"/>
          <w:szCs w:val="20"/>
          <w:lang w:val="fr-FR"/>
        </w:rPr>
      </w:pPr>
      <w:r w:rsidRPr="000712DF">
        <w:rPr>
          <w:rFonts w:ascii="Arial" w:hAnsi="Arial" w:cs="Arial"/>
          <w:b/>
          <w:bCs/>
          <w:sz w:val="20"/>
          <w:szCs w:val="20"/>
          <w:lang w:val="fr-FR"/>
        </w:rPr>
        <w:t xml:space="preserve">L’accord </w:t>
      </w:r>
      <w:proofErr w:type="spellStart"/>
      <w:r w:rsidRPr="000712DF">
        <w:rPr>
          <w:rFonts w:ascii="Arial" w:hAnsi="Arial" w:cs="Arial"/>
          <w:b/>
          <w:bCs/>
          <w:sz w:val="20"/>
          <w:szCs w:val="20"/>
          <w:lang w:val="fr-FR"/>
        </w:rPr>
        <w:t>intercantonal</w:t>
      </w:r>
      <w:proofErr w:type="spellEnd"/>
      <w:r w:rsidRPr="000712DF">
        <w:rPr>
          <w:rFonts w:ascii="Arial" w:hAnsi="Arial" w:cs="Arial"/>
          <w:b/>
          <w:bCs/>
          <w:sz w:val="20"/>
          <w:szCs w:val="20"/>
          <w:lang w:val="fr-FR"/>
        </w:rPr>
        <w:t xml:space="preserve"> sur les contributions dans le domaine des écoles supérieures (AES) entrera en vigueur le 1</w:t>
      </w:r>
      <w:r w:rsidRPr="000712DF">
        <w:rPr>
          <w:rFonts w:ascii="Arial" w:hAnsi="Arial" w:cs="Arial"/>
          <w:b/>
          <w:bCs/>
          <w:sz w:val="20"/>
          <w:szCs w:val="20"/>
          <w:vertAlign w:val="superscript"/>
          <w:lang w:val="fr-FR"/>
        </w:rPr>
        <w:t>er</w:t>
      </w:r>
      <w:r w:rsidRPr="000712DF">
        <w:rPr>
          <w:rFonts w:ascii="Arial" w:hAnsi="Arial" w:cs="Arial"/>
          <w:b/>
          <w:bCs/>
          <w:sz w:val="20"/>
          <w:szCs w:val="20"/>
          <w:lang w:val="fr-FR"/>
        </w:rPr>
        <w:t xml:space="preserve"> janvier 2014. Les cantons signataires auront d’importantes décisions financières à prendre sur la base de cet accord. Une chose est claire pour Travail.Suisse: si les cantons ne se concentrent que sur les économies, ils ne feront qu’affaiblir un domaine important de la formation du degré tertiaire.</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exact"/>
        <w:outlineLvl w:val="5"/>
        <w:rPr>
          <w:rFonts w:ascii="Arial" w:hAnsi="Arial" w:cs="Arial"/>
          <w:i/>
          <w:iCs/>
          <w:sz w:val="20"/>
          <w:szCs w:val="20"/>
          <w:lang w:val="fr-FR"/>
        </w:rPr>
      </w:pPr>
      <w:r w:rsidRPr="000712DF">
        <w:rPr>
          <w:rFonts w:ascii="Arial" w:hAnsi="Arial" w:cs="Arial"/>
          <w:i/>
          <w:iCs/>
          <w:sz w:val="20"/>
          <w:szCs w:val="20"/>
          <w:lang w:val="fr-FR"/>
        </w:rPr>
        <w:t xml:space="preserve">Bruno Weber-Gobet, responsable de la politique de la formation, Travail.Suisse </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sz w:val="20"/>
          <w:szCs w:val="20"/>
          <w:lang w:val="fr-FR"/>
        </w:rPr>
      </w:pPr>
      <w:r w:rsidRPr="000712DF">
        <w:rPr>
          <w:rFonts w:ascii="Arial" w:hAnsi="Arial" w:cs="Arial"/>
          <w:sz w:val="20"/>
          <w:szCs w:val="20"/>
          <w:lang w:val="fr-FR"/>
        </w:rPr>
        <w:t xml:space="preserve">Jusqu’ici, douze cantons ainsi que la Principauté de Liechtenstein ont signé l’accord </w:t>
      </w:r>
      <w:proofErr w:type="spellStart"/>
      <w:r w:rsidRPr="000712DF">
        <w:rPr>
          <w:rFonts w:ascii="Arial" w:hAnsi="Arial" w:cs="Arial"/>
          <w:sz w:val="20"/>
          <w:szCs w:val="20"/>
          <w:lang w:val="fr-FR"/>
        </w:rPr>
        <w:t>intercantonal</w:t>
      </w:r>
      <w:proofErr w:type="spellEnd"/>
      <w:r w:rsidRPr="000712DF">
        <w:rPr>
          <w:rFonts w:ascii="Arial" w:hAnsi="Arial" w:cs="Arial"/>
          <w:sz w:val="20"/>
          <w:szCs w:val="20"/>
          <w:lang w:val="fr-FR"/>
        </w:rPr>
        <w:t xml:space="preserve"> sur les contributions dans le domaine des écoles supérieures (AES)</w:t>
      </w:r>
      <w:r w:rsidRPr="000712DF">
        <w:rPr>
          <w:rStyle w:val="Funotenzeichen"/>
          <w:rFonts w:ascii="Arial" w:hAnsi="Arial" w:cs="Arial"/>
          <w:sz w:val="20"/>
          <w:szCs w:val="20"/>
        </w:rPr>
        <w:footnoteReference w:id="1"/>
      </w:r>
      <w:r w:rsidRPr="000712DF">
        <w:rPr>
          <w:rFonts w:ascii="Arial" w:hAnsi="Arial" w:cs="Arial"/>
          <w:sz w:val="20"/>
          <w:szCs w:val="20"/>
          <w:lang w:val="fr-FR"/>
        </w:rPr>
        <w:t xml:space="preserve">. Les conditions préalables sont ainsi réunies pour que l’AES puisse entrer en vigueur l’an prochain. Les </w:t>
      </w:r>
      <w:r w:rsidRPr="000712DF">
        <w:rPr>
          <w:rFonts w:ascii="Arial" w:hAnsi="Arial" w:cs="Arial"/>
          <w:sz w:val="20"/>
          <w:szCs w:val="20"/>
          <w:u w:val="single"/>
          <w:lang w:val="fr-FR"/>
        </w:rPr>
        <w:t>règles</w:t>
      </w:r>
      <w:r w:rsidRPr="000712DF">
        <w:rPr>
          <w:rFonts w:ascii="Arial" w:hAnsi="Arial" w:cs="Arial"/>
          <w:sz w:val="20"/>
          <w:szCs w:val="20"/>
          <w:lang w:val="fr-FR"/>
        </w:rPr>
        <w:t xml:space="preserve"> du financement </w:t>
      </w:r>
      <w:proofErr w:type="spellStart"/>
      <w:r w:rsidRPr="000712DF">
        <w:rPr>
          <w:rFonts w:ascii="Arial" w:hAnsi="Arial" w:cs="Arial"/>
          <w:sz w:val="20"/>
          <w:szCs w:val="20"/>
          <w:lang w:val="fr-FR"/>
        </w:rPr>
        <w:t>intercantonal</w:t>
      </w:r>
      <w:proofErr w:type="spellEnd"/>
      <w:r w:rsidRPr="000712DF">
        <w:rPr>
          <w:rFonts w:ascii="Arial" w:hAnsi="Arial" w:cs="Arial"/>
          <w:sz w:val="20"/>
          <w:szCs w:val="20"/>
          <w:lang w:val="fr-FR"/>
        </w:rPr>
        <w:t xml:space="preserve"> des établissements de formation sont clairement définies par le biais de l’AES. Par contre, les détails du </w:t>
      </w:r>
      <w:r w:rsidRPr="000712DF">
        <w:rPr>
          <w:rFonts w:ascii="Arial" w:hAnsi="Arial" w:cs="Arial"/>
          <w:sz w:val="20"/>
          <w:szCs w:val="20"/>
          <w:u w:val="single"/>
          <w:lang w:val="fr-FR"/>
        </w:rPr>
        <w:t>montant</w:t>
      </w:r>
      <w:r w:rsidRPr="000712DF">
        <w:rPr>
          <w:rFonts w:ascii="Arial" w:hAnsi="Arial" w:cs="Arial"/>
          <w:sz w:val="20"/>
          <w:szCs w:val="20"/>
          <w:lang w:val="fr-FR"/>
        </w:rPr>
        <w:t xml:space="preserve"> des contributions n’étant pas encore finalisés, les cantons signataires devront prendre les décisions appropriées au cours des prochains mois. Leur tâche ne sera guère aisée dès lors qu’il s’agira de concilier et d’équilibrer des intérêts divers.</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b/>
          <w:bCs/>
          <w:sz w:val="20"/>
          <w:szCs w:val="20"/>
          <w:lang w:val="fr-FR"/>
        </w:rPr>
      </w:pPr>
      <w:r w:rsidRPr="000712DF">
        <w:rPr>
          <w:rFonts w:ascii="Arial" w:hAnsi="Arial" w:cs="Arial"/>
          <w:b/>
          <w:bCs/>
          <w:sz w:val="20"/>
          <w:szCs w:val="20"/>
          <w:lang w:val="fr-FR"/>
        </w:rPr>
        <w:t>Le point de vue des écoles supérieures</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sz w:val="20"/>
          <w:szCs w:val="20"/>
          <w:lang w:val="fr-FR"/>
        </w:rPr>
      </w:pPr>
      <w:r w:rsidRPr="000712DF">
        <w:rPr>
          <w:rFonts w:ascii="Arial" w:hAnsi="Arial" w:cs="Arial"/>
          <w:sz w:val="20"/>
          <w:szCs w:val="20"/>
          <w:lang w:val="fr-FR"/>
        </w:rPr>
        <w:t xml:space="preserve">Les écoles supérieures ont tout intérêt à ce que les contributions versées à leurs programmes de formation soient fondées sur des hypothèses réalistes. L’AES prévoit que les contributions </w:t>
      </w:r>
      <w:proofErr w:type="spellStart"/>
      <w:r w:rsidRPr="000712DF">
        <w:rPr>
          <w:rFonts w:ascii="Arial" w:hAnsi="Arial" w:cs="Arial"/>
          <w:sz w:val="20"/>
          <w:szCs w:val="20"/>
          <w:lang w:val="fr-FR"/>
        </w:rPr>
        <w:t>intercantonales</w:t>
      </w:r>
      <w:proofErr w:type="spellEnd"/>
      <w:r w:rsidRPr="000712DF">
        <w:rPr>
          <w:rFonts w:ascii="Arial" w:hAnsi="Arial" w:cs="Arial"/>
          <w:sz w:val="20"/>
          <w:szCs w:val="20"/>
          <w:lang w:val="fr-FR"/>
        </w:rPr>
        <w:t xml:space="preserve"> s’élèvent à 50 % du coût moyen calculé</w:t>
      </w:r>
      <w:r w:rsidRPr="000712DF">
        <w:rPr>
          <w:rStyle w:val="Funotenzeichen"/>
          <w:rFonts w:ascii="Arial" w:hAnsi="Arial" w:cs="Arial"/>
          <w:sz w:val="20"/>
          <w:szCs w:val="20"/>
        </w:rPr>
        <w:footnoteReference w:id="2"/>
      </w:r>
      <w:r w:rsidRPr="000712DF">
        <w:rPr>
          <w:rFonts w:ascii="Arial" w:hAnsi="Arial" w:cs="Arial"/>
          <w:sz w:val="20"/>
          <w:szCs w:val="20"/>
          <w:lang w:val="fr-FR"/>
        </w:rPr>
        <w:t xml:space="preserve">. À cet effet, il faut établir un </w:t>
      </w:r>
      <w:r w:rsidRPr="00803CD9">
        <w:rPr>
          <w:rFonts w:ascii="Arial" w:hAnsi="Arial" w:cs="Arial"/>
          <w:sz w:val="20"/>
          <w:szCs w:val="20"/>
          <w:lang w:val="fr-FR"/>
        </w:rPr>
        <w:t xml:space="preserve">modèle d’étude des coûts qui reflète la réalité de manière optimale. Si ce modèle est mal conçu, les contributions ne répondront pas à l’objectif défini dans la loi, et pour les écoles, les contributions que leur garantit l’AES feront défaut, ce qui pourra entraîner de graves conséquences – comme nous allons encore l’expliquer. Il se peut que les contributions soient mal calculées si le modèle </w:t>
      </w:r>
      <w:r w:rsidR="00803CD9" w:rsidRPr="00803CD9">
        <w:rPr>
          <w:rFonts w:ascii="Arial" w:hAnsi="Arial" w:cs="Arial"/>
          <w:sz w:val="20"/>
          <w:szCs w:val="20"/>
          <w:lang w:val="fr-FR"/>
        </w:rPr>
        <w:t>d</w:t>
      </w:r>
      <w:r w:rsidRPr="00803CD9">
        <w:rPr>
          <w:rFonts w:ascii="Arial" w:hAnsi="Arial" w:cs="Arial"/>
          <w:sz w:val="20"/>
          <w:szCs w:val="20"/>
          <w:lang w:val="fr-FR"/>
        </w:rPr>
        <w:t>’étude des</w:t>
      </w:r>
      <w:r w:rsidRPr="000712DF">
        <w:rPr>
          <w:rFonts w:ascii="Arial" w:hAnsi="Arial" w:cs="Arial"/>
          <w:sz w:val="20"/>
          <w:szCs w:val="20"/>
          <w:lang w:val="fr-FR"/>
        </w:rPr>
        <w:t xml:space="preserve"> coûts n’est pas basé sur le coût complet, s’il n’englobe pas les particularités </w:t>
      </w:r>
      <w:r w:rsidRPr="000712DF">
        <w:rPr>
          <w:rFonts w:ascii="Arial" w:hAnsi="Arial" w:cs="Arial"/>
          <w:sz w:val="20"/>
          <w:szCs w:val="20"/>
          <w:lang w:val="fr-FR"/>
        </w:rPr>
        <w:lastRenderedPageBreak/>
        <w:t>méthodologiques et pédagogiques d’une filière d’études comme par exemple le travail en laboratoire et en petits groupes, ou s’il ne prend pas, ou pas suffisamment, en considération les coûts de l’évolution d’une filière d’études</w:t>
      </w:r>
      <w:r w:rsidRPr="000712DF">
        <w:rPr>
          <w:rFonts w:ascii="Arial" w:hAnsi="Arial" w:cs="Arial"/>
          <w:i/>
          <w:iCs/>
          <w:sz w:val="20"/>
          <w:szCs w:val="20"/>
          <w:lang w:val="fr-FR"/>
        </w:rPr>
        <w:t>.</w:t>
      </w:r>
      <w:r w:rsidRPr="000712DF">
        <w:rPr>
          <w:rFonts w:ascii="Arial" w:hAnsi="Arial" w:cs="Arial"/>
          <w:sz w:val="20"/>
          <w:szCs w:val="20"/>
          <w:lang w:val="fr-FR"/>
        </w:rPr>
        <w:t xml:space="preserve"> </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b/>
          <w:bCs/>
          <w:sz w:val="20"/>
          <w:szCs w:val="20"/>
          <w:lang w:val="fr-FR"/>
        </w:rPr>
      </w:pPr>
      <w:r w:rsidRPr="000712DF">
        <w:rPr>
          <w:rFonts w:ascii="Arial" w:hAnsi="Arial" w:cs="Arial"/>
          <w:b/>
          <w:bCs/>
          <w:sz w:val="20"/>
          <w:szCs w:val="20"/>
          <w:lang w:val="fr-FR"/>
        </w:rPr>
        <w:t>Le point de vue des cantons de domicile des étudiants</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sz w:val="20"/>
          <w:szCs w:val="20"/>
          <w:lang w:val="fr-FR"/>
        </w:rPr>
      </w:pPr>
      <w:r w:rsidRPr="000712DF">
        <w:rPr>
          <w:rFonts w:ascii="Arial" w:hAnsi="Arial" w:cs="Arial"/>
          <w:sz w:val="20"/>
          <w:szCs w:val="20"/>
          <w:lang w:val="fr-FR"/>
        </w:rPr>
        <w:t xml:space="preserve">L’AES définit le montant que les cantons de domicile des étudiants doivent verser aux organismes responsables des filières de formation des écoles supérieures. Compte tenu de la situation financière difficile dans laquelle se trouvent les cantons, on peut comprendre qu’ils donnent la préférence à de faibles contributions </w:t>
      </w:r>
      <w:proofErr w:type="spellStart"/>
      <w:r w:rsidRPr="000712DF">
        <w:rPr>
          <w:rFonts w:ascii="Arial" w:hAnsi="Arial" w:cs="Arial"/>
          <w:sz w:val="20"/>
          <w:szCs w:val="20"/>
          <w:lang w:val="fr-FR"/>
        </w:rPr>
        <w:t>intercantonales</w:t>
      </w:r>
      <w:proofErr w:type="spellEnd"/>
      <w:r w:rsidRPr="000712DF">
        <w:rPr>
          <w:rFonts w:ascii="Arial" w:hAnsi="Arial" w:cs="Arial"/>
          <w:sz w:val="20"/>
          <w:szCs w:val="20"/>
          <w:lang w:val="fr-FR"/>
        </w:rPr>
        <w:t xml:space="preserve">. Les directeurs cantonaux des finances et de l’instruction publique doivent non seulement défendre devant le Parlement les contributions à verser à l’AES, mais aussi se mobiliser en faveur de préoccupations importantes relevant d’autres domaines. Ils font des concessions lorsque les coûts de l’AES peuvent être maintenus à un bas niveau. Ils doivent toutefois se poser la question de savoir si le bénéfice à court terme demeure, à long terme, un bénéfice. Car le système des écoles supérieures est peu coûteux par rapport aux hautes écoles spécialisées. Les cantons doivent donc veiller à ce que les écoles supérieures restent attrayantes pour les étudiants, ce qui </w:t>
      </w:r>
      <w:r w:rsidRPr="00803CD9">
        <w:rPr>
          <w:rFonts w:ascii="Arial" w:hAnsi="Arial" w:cs="Arial"/>
          <w:sz w:val="20"/>
          <w:szCs w:val="20"/>
          <w:lang w:val="fr-FR"/>
        </w:rPr>
        <w:t>implique aussi des taxes d’inscription aux cours qui soient abordables.</w:t>
      </w:r>
      <w:r w:rsidRPr="000712DF">
        <w:rPr>
          <w:rFonts w:ascii="Arial" w:hAnsi="Arial" w:cs="Arial"/>
          <w:sz w:val="20"/>
          <w:szCs w:val="20"/>
          <w:lang w:val="fr-FR"/>
        </w:rPr>
        <w:t xml:space="preserve"> </w:t>
      </w: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b/>
          <w:bCs/>
          <w:sz w:val="20"/>
          <w:szCs w:val="20"/>
          <w:lang w:val="fr-FR"/>
        </w:rPr>
      </w:pPr>
      <w:r w:rsidRPr="000712DF">
        <w:rPr>
          <w:rFonts w:ascii="Arial" w:hAnsi="Arial" w:cs="Arial"/>
          <w:b/>
          <w:bCs/>
          <w:sz w:val="20"/>
          <w:szCs w:val="20"/>
          <w:lang w:val="fr-FR"/>
        </w:rPr>
        <w:t>Le point de vue des cantons sièges</w:t>
      </w:r>
      <w:r w:rsidRPr="000712DF">
        <w:rPr>
          <w:rFonts w:ascii="Arial" w:hAnsi="Arial" w:cs="Arial"/>
          <w:i/>
          <w:iCs/>
          <w:sz w:val="20"/>
          <w:szCs w:val="20"/>
          <w:lang w:val="fr-FR"/>
        </w:rPr>
        <w:t xml:space="preserve"> </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sz w:val="20"/>
          <w:szCs w:val="20"/>
          <w:lang w:val="fr-FR"/>
        </w:rPr>
      </w:pPr>
      <w:r w:rsidRPr="000712DF">
        <w:rPr>
          <w:rFonts w:ascii="Arial" w:hAnsi="Arial" w:cs="Arial"/>
          <w:sz w:val="20"/>
          <w:szCs w:val="20"/>
          <w:lang w:val="fr-FR"/>
        </w:rPr>
        <w:t xml:space="preserve">Sous le régime du nouvel AES, des négociations auront lieu entre le canton et les écoles, dans tous les cantons où sont établies ces dernières. Dans ces négociations, les rémunérations dudit canton seront fixées par rapport aux différentes écoles. Certes, les contributions </w:t>
      </w:r>
      <w:proofErr w:type="spellStart"/>
      <w:r w:rsidRPr="000712DF">
        <w:rPr>
          <w:rFonts w:ascii="Arial" w:hAnsi="Arial" w:cs="Arial"/>
          <w:sz w:val="20"/>
          <w:szCs w:val="20"/>
          <w:lang w:val="fr-FR"/>
        </w:rPr>
        <w:t>intercantonales</w:t>
      </w:r>
      <w:proofErr w:type="spellEnd"/>
      <w:r w:rsidRPr="000712DF">
        <w:rPr>
          <w:rFonts w:ascii="Arial" w:hAnsi="Arial" w:cs="Arial"/>
          <w:sz w:val="20"/>
          <w:szCs w:val="20"/>
          <w:lang w:val="fr-FR"/>
        </w:rPr>
        <w:t xml:space="preserve"> de l’AES pourront y jouer un certain rôle, mais en fin de compte, chaque canton où se trouve des écoles supérieures reconnues, devra négocier avec lesdites écoles le montant de la contribution qu’il devra leur verser. En principe, ces contributions par </w:t>
      </w:r>
      <w:proofErr w:type="spellStart"/>
      <w:r w:rsidRPr="000712DF">
        <w:rPr>
          <w:rFonts w:ascii="Arial" w:hAnsi="Arial" w:cs="Arial"/>
          <w:sz w:val="20"/>
          <w:szCs w:val="20"/>
          <w:lang w:val="fr-FR"/>
        </w:rPr>
        <w:t>étudiant-e</w:t>
      </w:r>
      <w:proofErr w:type="spellEnd"/>
      <w:r w:rsidRPr="000712DF">
        <w:rPr>
          <w:rFonts w:ascii="Arial" w:hAnsi="Arial" w:cs="Arial"/>
          <w:sz w:val="20"/>
          <w:szCs w:val="20"/>
          <w:lang w:val="fr-FR"/>
        </w:rPr>
        <w:t xml:space="preserve"> devraient être légèrement supérieures aux contributions </w:t>
      </w:r>
      <w:proofErr w:type="spellStart"/>
      <w:r w:rsidRPr="000712DF">
        <w:rPr>
          <w:rFonts w:ascii="Arial" w:hAnsi="Arial" w:cs="Arial"/>
          <w:sz w:val="20"/>
          <w:szCs w:val="20"/>
          <w:lang w:val="fr-FR"/>
        </w:rPr>
        <w:t>intercantonales</w:t>
      </w:r>
      <w:proofErr w:type="spellEnd"/>
      <w:r w:rsidRPr="000712DF">
        <w:rPr>
          <w:rFonts w:ascii="Arial" w:hAnsi="Arial" w:cs="Arial"/>
          <w:sz w:val="20"/>
          <w:szCs w:val="20"/>
          <w:lang w:val="fr-FR"/>
        </w:rPr>
        <w:t>. Car un canton où une telle école est implantée peut retirer certains avantages de cette implantation. En effet, elle lui apporte un avantage économique</w:t>
      </w:r>
      <w:r w:rsidRPr="000712DF">
        <w:rPr>
          <w:rStyle w:val="Funotenzeichen"/>
          <w:rFonts w:ascii="Arial" w:hAnsi="Arial" w:cs="Arial"/>
          <w:sz w:val="20"/>
          <w:szCs w:val="20"/>
        </w:rPr>
        <w:footnoteReference w:id="3"/>
      </w:r>
      <w:r w:rsidRPr="000712DF">
        <w:rPr>
          <w:rFonts w:ascii="Arial" w:hAnsi="Arial" w:cs="Arial"/>
          <w:sz w:val="20"/>
          <w:szCs w:val="20"/>
          <w:lang w:val="fr-FR"/>
        </w:rPr>
        <w:t xml:space="preserve">. Elle y crée par exemple des emplois, y procède à des achats, paie des impôts, rend le lieu plus attrayant et apporte un savoir-faire à la région. On peut donc tout simplement attendre des cantons où se trouvent ces écoles que leurs contributions à celles-ci soient supérieures aux contributions </w:t>
      </w:r>
      <w:proofErr w:type="spellStart"/>
      <w:r w:rsidRPr="000712DF">
        <w:rPr>
          <w:rFonts w:ascii="Arial" w:hAnsi="Arial" w:cs="Arial"/>
          <w:sz w:val="20"/>
          <w:szCs w:val="20"/>
          <w:lang w:val="fr-FR"/>
        </w:rPr>
        <w:t>intercantonales</w:t>
      </w:r>
      <w:proofErr w:type="spellEnd"/>
      <w:r w:rsidRPr="000712DF">
        <w:rPr>
          <w:rFonts w:ascii="Arial" w:hAnsi="Arial" w:cs="Arial"/>
          <w:sz w:val="20"/>
          <w:szCs w:val="20"/>
          <w:lang w:val="fr-FR"/>
        </w:rPr>
        <w:t xml:space="preserve"> prévues par l’AES. </w:t>
      </w: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b/>
          <w:bCs/>
          <w:sz w:val="20"/>
          <w:szCs w:val="20"/>
          <w:lang w:val="fr-FR"/>
        </w:rPr>
      </w:pPr>
      <w:r w:rsidRPr="000712DF">
        <w:rPr>
          <w:rFonts w:ascii="Arial" w:hAnsi="Arial" w:cs="Arial"/>
          <w:b/>
          <w:bCs/>
          <w:sz w:val="20"/>
          <w:szCs w:val="20"/>
          <w:lang w:val="fr-FR"/>
        </w:rPr>
        <w:t>Le point de vue des étudiants</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sz w:val="20"/>
          <w:szCs w:val="20"/>
          <w:lang w:val="fr-FR"/>
        </w:rPr>
      </w:pPr>
      <w:r w:rsidRPr="000712DF">
        <w:rPr>
          <w:rFonts w:ascii="Arial" w:hAnsi="Arial" w:cs="Arial"/>
          <w:sz w:val="20"/>
          <w:szCs w:val="20"/>
          <w:lang w:val="fr-FR"/>
        </w:rPr>
        <w:t xml:space="preserve">Les étudiants ont tout intérêt à ce que les taxes d’inscription aux cours soient basses. Les frais de scolarité des hautes écoles spécialisées se situent entre CHF 4‘500 et CHF 5‘000, jusqu’au diplôme de </w:t>
      </w:r>
      <w:proofErr w:type="spellStart"/>
      <w:r w:rsidRPr="000712DF">
        <w:rPr>
          <w:rFonts w:ascii="Arial" w:hAnsi="Arial" w:cs="Arial"/>
          <w:sz w:val="20"/>
          <w:szCs w:val="20"/>
          <w:lang w:val="fr-FR"/>
        </w:rPr>
        <w:t>bachelor</w:t>
      </w:r>
      <w:proofErr w:type="spellEnd"/>
      <w:r w:rsidRPr="000712DF">
        <w:rPr>
          <w:rFonts w:ascii="Arial" w:hAnsi="Arial" w:cs="Arial"/>
          <w:sz w:val="20"/>
          <w:szCs w:val="20"/>
          <w:lang w:val="fr-FR"/>
        </w:rPr>
        <w:t xml:space="preserve">. Ils sont trois ou quatre fois plus élevés dans les écoles supérieures. Plus les taxes d’inscription aux cours sont élevées, moins l’école supérieure est concurrentielle par rapport </w:t>
      </w:r>
      <w:r w:rsidRPr="000712DF">
        <w:rPr>
          <w:rFonts w:ascii="Arial" w:hAnsi="Arial" w:cs="Arial"/>
          <w:sz w:val="20"/>
          <w:szCs w:val="20"/>
          <w:lang w:val="fr-FR"/>
        </w:rPr>
        <w:lastRenderedPageBreak/>
        <w:t>aux hautes écoles spécialisées. Il faut donc une politique des droits d’inscription aux cours qui soit en rapport avec les écoles supérieures. Cette politique doit faire en sorte que ces dernières conservent leur compétitivité voire l’améliorent par rapport aux hautes écoles spécialisées, et qu’aucune personne capable et intéressée ne doive renoncer à une formation pour des raisons financières. Fondamentalement, du point de vue des étudiants, il convient que, d’une part, les taxes d’inscription aux cours puissent être payées sans problèmes majeurs par les jeunes professionnels</w:t>
      </w:r>
      <w:r w:rsidRPr="000712DF">
        <w:rPr>
          <w:rFonts w:ascii="Arial" w:hAnsi="Arial" w:cs="Arial"/>
          <w:i/>
          <w:iCs/>
          <w:sz w:val="20"/>
          <w:szCs w:val="20"/>
          <w:lang w:val="fr-FR"/>
        </w:rPr>
        <w:t xml:space="preserve"> </w:t>
      </w:r>
      <w:r w:rsidRPr="000712DF">
        <w:rPr>
          <w:rFonts w:ascii="Arial" w:hAnsi="Arial" w:cs="Arial"/>
          <w:sz w:val="20"/>
          <w:szCs w:val="20"/>
          <w:lang w:val="fr-FR"/>
        </w:rPr>
        <w:t>et que, d’autre part, la rentabilité de la formation des écoles supérieures soit plus importante que celle des hautes écoles spécialisées. C’est ainsi que les premières sont attrayantes. Cela signifie pour les cantons sièges et les cantons de domicile que faire des économies ne saurait constituer une politique. Et cela signifie pour l’économie et les entreprises que leur soutien aux étudiants contribue à améliorer l’attrait des écoles supérieures.</w:t>
      </w: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b/>
          <w:bCs/>
          <w:sz w:val="20"/>
          <w:szCs w:val="20"/>
          <w:lang w:val="fr-FR"/>
        </w:rPr>
      </w:pPr>
      <w:r w:rsidRPr="000712DF">
        <w:rPr>
          <w:rFonts w:ascii="Arial" w:hAnsi="Arial" w:cs="Arial"/>
          <w:b/>
          <w:bCs/>
          <w:sz w:val="20"/>
          <w:szCs w:val="20"/>
          <w:lang w:val="fr-FR"/>
        </w:rPr>
        <w:t>Le point de vue du marché du travail</w:t>
      </w:r>
    </w:p>
    <w:p w:rsidR="003920DC" w:rsidRPr="000712DF" w:rsidRDefault="003920DC" w:rsidP="00FA2254">
      <w:pPr>
        <w:spacing w:after="0" w:line="300" w:lineRule="atLeast"/>
        <w:rPr>
          <w:rFonts w:ascii="Arial" w:hAnsi="Arial" w:cs="Arial"/>
          <w:b/>
          <w:bCs/>
          <w:sz w:val="20"/>
          <w:szCs w:val="20"/>
          <w:lang w:val="fr-FR"/>
        </w:rPr>
      </w:pPr>
    </w:p>
    <w:p w:rsidR="003920DC" w:rsidRPr="000712DF" w:rsidRDefault="003920DC" w:rsidP="00FA2254">
      <w:pPr>
        <w:spacing w:after="0" w:line="300" w:lineRule="atLeast"/>
        <w:rPr>
          <w:rFonts w:ascii="Arial" w:hAnsi="Arial" w:cs="Arial"/>
          <w:sz w:val="20"/>
          <w:szCs w:val="20"/>
          <w:lang w:val="fr-FR"/>
        </w:rPr>
      </w:pPr>
      <w:r w:rsidRPr="000712DF">
        <w:rPr>
          <w:rFonts w:ascii="Arial" w:hAnsi="Arial" w:cs="Arial"/>
          <w:sz w:val="20"/>
          <w:szCs w:val="20"/>
          <w:lang w:val="fr-FR"/>
        </w:rPr>
        <w:t xml:space="preserve">Afin d’assurer leur avenir, les écoles supérieures doivent se développer sur le plan des contenus et de la qualité. C’est ainsi seulement que leurs formations et leurs diplômes conserveront leur valeur sur le marché du travail. Dans le contexte de la qualité et du développement, la formation des professeurs, et leur formation continue, les procédures de reconnaissance, mais aussi la didactique professionnelle jouent certainement un rôle important. Tout cela est coûteux. Certains domaines sont soumis à des pressions pour que l’on y fasse des économies. Pour preuve, on engage davantage de professeurs en charge d’un petit nombre de cours: la didactique professionnelle est </w:t>
      </w:r>
      <w:r w:rsidRPr="000712DF">
        <w:rPr>
          <w:rFonts w:ascii="Arial" w:hAnsi="Arial" w:cs="Arial"/>
          <w:sz w:val="20"/>
          <w:szCs w:val="20"/>
          <w:highlight w:val="yellow"/>
          <w:lang w:val="fr-FR"/>
        </w:rPr>
        <w:t>mise au rancart</w:t>
      </w:r>
      <w:r w:rsidRPr="000712DF">
        <w:rPr>
          <w:rFonts w:ascii="Arial" w:hAnsi="Arial" w:cs="Arial"/>
          <w:sz w:val="20"/>
          <w:szCs w:val="20"/>
          <w:lang w:val="fr-FR"/>
        </w:rPr>
        <w:t xml:space="preserve"> au profit de formes d’enseignement et d’apprentissage moins coûteuses; la formation et la formation continue des professeurs sont en recul. Par contre, lorsque les coûts sont transférés aux étudiants, les taxes d’inscription aux cours augmentent. À cet égard aussi, on voit que, dans les décisions financières que prennent les cantons dans le cadre de l’AES, ils doivent préparer le terrain pour accroître l’attrait et la qualité des filières de formation des écoles supérieures.</w:t>
      </w: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sz w:val="20"/>
          <w:szCs w:val="20"/>
          <w:lang w:val="fr-FR"/>
        </w:rPr>
      </w:pPr>
    </w:p>
    <w:p w:rsidR="003920DC" w:rsidRPr="000712DF" w:rsidRDefault="003920DC" w:rsidP="00FA2254">
      <w:pPr>
        <w:spacing w:after="0" w:line="300" w:lineRule="atLeast"/>
        <w:rPr>
          <w:rFonts w:ascii="Arial" w:hAnsi="Arial" w:cs="Arial"/>
          <w:sz w:val="20"/>
          <w:szCs w:val="20"/>
          <w:lang w:val="fr-FR"/>
        </w:rPr>
      </w:pPr>
      <w:bookmarkStart w:id="0" w:name="_GoBack"/>
      <w:bookmarkEnd w:id="0"/>
    </w:p>
    <w:sectPr w:rsidR="003920DC" w:rsidRPr="000712DF" w:rsidSect="0052767A">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DC" w:rsidRDefault="003920DC" w:rsidP="005B19AF">
      <w:pPr>
        <w:spacing w:after="0" w:line="240" w:lineRule="auto"/>
      </w:pPr>
      <w:r>
        <w:separator/>
      </w:r>
    </w:p>
  </w:endnote>
  <w:endnote w:type="continuationSeparator" w:id="0">
    <w:p w:rsidR="003920DC" w:rsidRDefault="003920DC" w:rsidP="005B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DC" w:rsidRDefault="003920DC" w:rsidP="005B19AF">
      <w:pPr>
        <w:spacing w:after="0" w:line="240" w:lineRule="auto"/>
      </w:pPr>
      <w:r>
        <w:separator/>
      </w:r>
    </w:p>
  </w:footnote>
  <w:footnote w:type="continuationSeparator" w:id="0">
    <w:p w:rsidR="003920DC" w:rsidRDefault="003920DC" w:rsidP="005B19AF">
      <w:pPr>
        <w:spacing w:after="0" w:line="240" w:lineRule="auto"/>
      </w:pPr>
      <w:r>
        <w:continuationSeparator/>
      </w:r>
    </w:p>
  </w:footnote>
  <w:footnote w:id="1">
    <w:p w:rsidR="003920DC" w:rsidRDefault="003920DC">
      <w:pPr>
        <w:pStyle w:val="Funotentext"/>
      </w:pPr>
      <w:r w:rsidRPr="0052767A">
        <w:rPr>
          <w:rStyle w:val="Funotenzeichen"/>
          <w:rFonts w:ascii="Arial" w:hAnsi="Arial" w:cs="Arial"/>
          <w:sz w:val="18"/>
          <w:szCs w:val="18"/>
        </w:rPr>
        <w:footnoteRef/>
      </w:r>
      <w:r w:rsidRPr="0052767A">
        <w:rPr>
          <w:rFonts w:ascii="Arial" w:hAnsi="Arial" w:cs="Arial"/>
          <w:sz w:val="18"/>
          <w:szCs w:val="18"/>
        </w:rPr>
        <w:t xml:space="preserve"> </w:t>
      </w:r>
      <w:hyperlink r:id="rId1" w:history="1">
        <w:r w:rsidRPr="000712DF">
          <w:rPr>
            <w:rStyle w:val="Hyperlink"/>
            <w:rFonts w:ascii="Arial" w:hAnsi="Arial" w:cs="Arial"/>
            <w:color w:val="auto"/>
            <w:sz w:val="18"/>
            <w:szCs w:val="18"/>
          </w:rPr>
          <w:t>http://www.edk.ch/dyn/21415.php</w:t>
        </w:r>
      </w:hyperlink>
      <w:r w:rsidRPr="000712DF">
        <w:rPr>
          <w:rFonts w:ascii="Arial" w:hAnsi="Arial" w:cs="Arial"/>
          <w:sz w:val="18"/>
          <w:szCs w:val="18"/>
        </w:rPr>
        <w:t xml:space="preserve"> </w:t>
      </w:r>
    </w:p>
  </w:footnote>
  <w:footnote w:id="2">
    <w:p w:rsidR="003920DC" w:rsidRPr="000712DF" w:rsidRDefault="003920DC" w:rsidP="007A72BC">
      <w:pPr>
        <w:spacing w:after="0"/>
        <w:rPr>
          <w:rFonts w:ascii="Arial" w:hAnsi="Arial" w:cs="Arial"/>
          <w:sz w:val="18"/>
          <w:szCs w:val="18"/>
          <w:lang w:val="fr-FR" w:eastAsia="de-CH"/>
        </w:rPr>
      </w:pPr>
      <w:r w:rsidRPr="000712DF">
        <w:rPr>
          <w:rStyle w:val="Funotenzeichen"/>
          <w:rFonts w:ascii="Arial" w:hAnsi="Arial" w:cs="Arial"/>
          <w:sz w:val="18"/>
          <w:szCs w:val="18"/>
        </w:rPr>
        <w:footnoteRef/>
      </w:r>
      <w:r w:rsidRPr="000712DF">
        <w:rPr>
          <w:rFonts w:ascii="Arial" w:hAnsi="Arial" w:cs="Arial"/>
          <w:sz w:val="18"/>
          <w:szCs w:val="18"/>
          <w:lang w:val="fr-FR"/>
        </w:rPr>
        <w:t xml:space="preserve"> </w:t>
      </w:r>
      <w:r w:rsidRPr="000712DF">
        <w:rPr>
          <w:rFonts w:ascii="Arial" w:hAnsi="Arial" w:cs="Arial"/>
          <w:sz w:val="18"/>
          <w:szCs w:val="18"/>
          <w:lang w:val="fr-FR" w:eastAsia="de-CH"/>
        </w:rPr>
        <w:t xml:space="preserve">Art. 6 Montant des contributions: </w:t>
      </w:r>
    </w:p>
    <w:p w:rsidR="003920DC" w:rsidRPr="000712DF" w:rsidRDefault="003920DC" w:rsidP="00DE229B">
      <w:pPr>
        <w:autoSpaceDE w:val="0"/>
        <w:autoSpaceDN w:val="0"/>
        <w:adjustRightInd w:val="0"/>
        <w:spacing w:after="0" w:line="240" w:lineRule="auto"/>
        <w:rPr>
          <w:rFonts w:ascii="Arial" w:hAnsi="Arial" w:cs="Arial"/>
          <w:sz w:val="18"/>
          <w:szCs w:val="18"/>
          <w:lang w:val="fr-FR" w:eastAsia="de-CH"/>
        </w:rPr>
      </w:pPr>
      <w:r w:rsidRPr="000712DF">
        <w:rPr>
          <w:rFonts w:ascii="Arial" w:hAnsi="Arial" w:cs="Arial"/>
          <w:sz w:val="18"/>
          <w:szCs w:val="18"/>
          <w:vertAlign w:val="superscript"/>
          <w:lang w:val="fr-FR" w:eastAsia="de-CH"/>
        </w:rPr>
        <w:t>1</w:t>
      </w:r>
      <w:r w:rsidRPr="000712DF">
        <w:rPr>
          <w:rFonts w:ascii="Arial" w:hAnsi="Arial" w:cs="Arial"/>
          <w:sz w:val="18"/>
          <w:szCs w:val="18"/>
          <w:lang w:val="fr-FR" w:eastAsia="de-CH"/>
        </w:rPr>
        <w:t xml:space="preserve"> </w:t>
      </w:r>
      <w:r w:rsidRPr="000712DF">
        <w:rPr>
          <w:rFonts w:ascii="Arial" w:hAnsi="Arial" w:cs="Arial"/>
          <w:sz w:val="18"/>
          <w:szCs w:val="18"/>
          <w:lang w:val="fr-FR" w:eastAsia="de-CH"/>
        </w:rPr>
        <w:tab/>
      </w:r>
      <w:r w:rsidRPr="000712DF">
        <w:rPr>
          <w:rFonts w:ascii="Arial" w:hAnsi="Arial" w:cs="Arial"/>
          <w:sz w:val="18"/>
          <w:szCs w:val="18"/>
          <w:lang w:val="fr-FR" w:eastAsia="fr-FR"/>
        </w:rPr>
        <w:t>Les contributions sont fixées sous forme de forfaits semestriels par étudiante ou étudiant, en distinguant pour chaque filière entre formation à plein temps et formation à temps partiel.</w:t>
      </w:r>
    </w:p>
    <w:p w:rsidR="003920DC" w:rsidRPr="000712DF" w:rsidRDefault="003920DC" w:rsidP="00DE229B">
      <w:pPr>
        <w:autoSpaceDE w:val="0"/>
        <w:autoSpaceDN w:val="0"/>
        <w:adjustRightInd w:val="0"/>
        <w:spacing w:after="0" w:line="240" w:lineRule="auto"/>
        <w:rPr>
          <w:rFonts w:ascii="Arial" w:hAnsi="Arial" w:cs="Arial"/>
          <w:sz w:val="18"/>
          <w:szCs w:val="18"/>
          <w:lang w:val="fr-FR" w:eastAsia="fr-FR"/>
        </w:rPr>
      </w:pPr>
      <w:r w:rsidRPr="000712DF">
        <w:rPr>
          <w:rFonts w:ascii="Arial" w:hAnsi="Arial" w:cs="Arial"/>
          <w:sz w:val="18"/>
          <w:szCs w:val="18"/>
          <w:vertAlign w:val="superscript"/>
          <w:lang w:val="fr-FR" w:eastAsia="de-CH"/>
        </w:rPr>
        <w:t>2</w:t>
      </w:r>
      <w:r w:rsidRPr="000712DF">
        <w:rPr>
          <w:rFonts w:ascii="Arial" w:hAnsi="Arial" w:cs="Arial"/>
          <w:sz w:val="18"/>
          <w:szCs w:val="18"/>
          <w:lang w:val="fr-FR" w:eastAsia="de-CH"/>
        </w:rPr>
        <w:t xml:space="preserve"> </w:t>
      </w:r>
      <w:r w:rsidRPr="000712DF">
        <w:rPr>
          <w:rFonts w:ascii="Arial" w:hAnsi="Arial" w:cs="Arial"/>
          <w:sz w:val="18"/>
          <w:szCs w:val="18"/>
          <w:lang w:val="fr-FR" w:eastAsia="de-CH"/>
        </w:rPr>
        <w:tab/>
      </w:r>
      <w:r w:rsidRPr="000712DF">
        <w:rPr>
          <w:rFonts w:ascii="Arial" w:hAnsi="Arial" w:cs="Arial"/>
          <w:sz w:val="18"/>
          <w:szCs w:val="18"/>
          <w:lang w:val="fr-FR" w:eastAsia="fr-FR"/>
        </w:rPr>
        <w:t>Les principes suivants s’appliquent lors de l’établissement du montant des contributions forfaitaires prévues à l’al. 1:</w:t>
      </w:r>
    </w:p>
    <w:p w:rsidR="003920DC" w:rsidRPr="000712DF" w:rsidRDefault="003920DC" w:rsidP="0085280B">
      <w:pPr>
        <w:autoSpaceDE w:val="0"/>
        <w:autoSpaceDN w:val="0"/>
        <w:adjustRightInd w:val="0"/>
        <w:spacing w:after="0" w:line="240" w:lineRule="auto"/>
        <w:ind w:firstLine="708"/>
        <w:rPr>
          <w:rFonts w:ascii="Arial" w:hAnsi="Arial" w:cs="Arial"/>
          <w:sz w:val="18"/>
          <w:szCs w:val="18"/>
          <w:lang w:val="fr-FR" w:eastAsia="fr-FR"/>
        </w:rPr>
      </w:pPr>
      <w:r w:rsidRPr="000712DF">
        <w:rPr>
          <w:rFonts w:ascii="Arial" w:hAnsi="Arial" w:cs="Arial"/>
          <w:sz w:val="18"/>
          <w:szCs w:val="18"/>
          <w:lang w:val="fr-FR" w:eastAsia="fr-FR"/>
        </w:rPr>
        <w:t>a. calcul du coût moyen pondéré (coût brut) par filière de formation et par étudiante ou étudiant au prorata de la durée de la formation (nombre de semestres), du nombre de périodes d’enseignement comptabilisables et de la taille moyenne des classes, la Conférence des cantons signataires déterminant le nombre maximal de périodes d’enseignement comptabilisables et la taille de référence minimale d’une classe;</w:t>
      </w:r>
    </w:p>
    <w:p w:rsidR="003920DC" w:rsidRPr="00803CD9" w:rsidRDefault="003920DC" w:rsidP="0085280B">
      <w:pPr>
        <w:autoSpaceDE w:val="0"/>
        <w:autoSpaceDN w:val="0"/>
        <w:adjustRightInd w:val="0"/>
        <w:spacing w:after="0" w:line="240" w:lineRule="auto"/>
        <w:ind w:firstLine="708"/>
        <w:rPr>
          <w:lang w:val="fr-CH"/>
        </w:rPr>
      </w:pPr>
      <w:r w:rsidRPr="000712DF">
        <w:rPr>
          <w:rFonts w:ascii="Arial" w:hAnsi="Arial" w:cs="Arial"/>
          <w:sz w:val="18"/>
          <w:szCs w:val="18"/>
          <w:lang w:val="fr-FR" w:eastAsia="fr-FR"/>
        </w:rPr>
        <w:t>b. les contributions couvrent 50 % du coût moyen calculé conformément à la let. a</w:t>
      </w:r>
      <w:r w:rsidRPr="000712DF">
        <w:rPr>
          <w:rFonts w:ascii="Palatino-Roman" w:hAnsi="Palatino-Roman" w:cs="Palatino-Roman"/>
          <w:sz w:val="20"/>
          <w:szCs w:val="20"/>
          <w:lang w:val="fr-FR" w:eastAsia="fr-FR"/>
        </w:rPr>
        <w:t>.</w:t>
      </w:r>
      <w:r w:rsidRPr="000712DF">
        <w:rPr>
          <w:rFonts w:ascii="Arial" w:hAnsi="Arial" w:cs="Arial"/>
          <w:sz w:val="18"/>
          <w:szCs w:val="18"/>
          <w:lang w:val="fr-FR" w:eastAsia="de-CH"/>
        </w:rPr>
        <w:t xml:space="preserve"> </w:t>
      </w:r>
    </w:p>
  </w:footnote>
  <w:footnote w:id="3">
    <w:p w:rsidR="003920DC" w:rsidRPr="0052767A" w:rsidRDefault="003920DC" w:rsidP="000F2B5B">
      <w:pPr>
        <w:autoSpaceDE w:val="0"/>
        <w:autoSpaceDN w:val="0"/>
        <w:adjustRightInd w:val="0"/>
        <w:spacing w:after="0" w:line="240" w:lineRule="auto"/>
        <w:rPr>
          <w:rFonts w:ascii="Arial" w:hAnsi="Arial" w:cs="Arial"/>
          <w:sz w:val="18"/>
          <w:szCs w:val="18"/>
        </w:rPr>
      </w:pPr>
      <w:r w:rsidRPr="0052767A">
        <w:rPr>
          <w:rStyle w:val="Funotenzeichen"/>
          <w:rFonts w:ascii="Arial" w:hAnsi="Arial" w:cs="Arial"/>
          <w:sz w:val="18"/>
          <w:szCs w:val="18"/>
        </w:rPr>
        <w:footnoteRef/>
      </w:r>
      <w:r w:rsidRPr="000712DF">
        <w:rPr>
          <w:rFonts w:ascii="Arial" w:hAnsi="Arial" w:cs="Arial"/>
          <w:sz w:val="18"/>
          <w:szCs w:val="18"/>
        </w:rPr>
        <w:t xml:space="preserve"> Zentralschweizer Regierungskonferenz (</w:t>
      </w:r>
      <w:proofErr w:type="spellStart"/>
      <w:r w:rsidRPr="000712DF">
        <w:rPr>
          <w:rFonts w:ascii="Arial" w:hAnsi="Arial" w:cs="Arial"/>
          <w:sz w:val="18"/>
          <w:szCs w:val="18"/>
        </w:rPr>
        <w:t>Conférence</w:t>
      </w:r>
      <w:proofErr w:type="spellEnd"/>
      <w:r w:rsidRPr="000712DF">
        <w:rPr>
          <w:rFonts w:ascii="Arial" w:hAnsi="Arial" w:cs="Arial"/>
          <w:sz w:val="18"/>
          <w:szCs w:val="18"/>
        </w:rPr>
        <w:t xml:space="preserve"> des </w:t>
      </w:r>
      <w:proofErr w:type="spellStart"/>
      <w:r w:rsidRPr="000712DF">
        <w:rPr>
          <w:rFonts w:ascii="Arial" w:hAnsi="Arial" w:cs="Arial"/>
          <w:sz w:val="18"/>
          <w:szCs w:val="18"/>
        </w:rPr>
        <w:t>gouvernements</w:t>
      </w:r>
      <w:proofErr w:type="spellEnd"/>
      <w:r w:rsidRPr="000712DF">
        <w:rPr>
          <w:rFonts w:ascii="Arial" w:hAnsi="Arial" w:cs="Arial"/>
          <w:sz w:val="18"/>
          <w:szCs w:val="18"/>
        </w:rPr>
        <w:t xml:space="preserve"> de Suisse </w:t>
      </w:r>
      <w:proofErr w:type="spellStart"/>
      <w:r w:rsidRPr="000712DF">
        <w:rPr>
          <w:rFonts w:ascii="Arial" w:hAnsi="Arial" w:cs="Arial"/>
          <w:sz w:val="18"/>
          <w:szCs w:val="18"/>
        </w:rPr>
        <w:t>centrale</w:t>
      </w:r>
      <w:proofErr w:type="spellEnd"/>
      <w:r w:rsidRPr="000712DF">
        <w:rPr>
          <w:rFonts w:ascii="Arial" w:hAnsi="Arial" w:cs="Arial"/>
          <w:sz w:val="18"/>
          <w:szCs w:val="18"/>
        </w:rPr>
        <w:t xml:space="preserve">), </w:t>
      </w:r>
      <w:r w:rsidRPr="0052767A">
        <w:rPr>
          <w:rFonts w:ascii="Arial" w:hAnsi="Arial" w:cs="Arial"/>
          <w:sz w:val="18"/>
          <w:szCs w:val="18"/>
        </w:rPr>
        <w:t xml:space="preserve">Grundlagenpapier über die Abgeltung von Standortvorteilen; zuhanden der Kantonsregierungen verabschiedet durch die ZFDK, </w:t>
      </w:r>
      <w:proofErr w:type="spellStart"/>
      <w:r w:rsidRPr="0052767A">
        <w:rPr>
          <w:rFonts w:ascii="Arial" w:hAnsi="Arial" w:cs="Arial"/>
          <w:sz w:val="18"/>
          <w:szCs w:val="18"/>
        </w:rPr>
        <w:t>Sol</w:t>
      </w:r>
      <w:r>
        <w:rPr>
          <w:rFonts w:ascii="Arial" w:hAnsi="Arial" w:cs="Arial"/>
          <w:sz w:val="18"/>
          <w:szCs w:val="18"/>
        </w:rPr>
        <w:t>eure</w:t>
      </w:r>
      <w:proofErr w:type="spellEnd"/>
      <w:r w:rsidRPr="0052767A">
        <w:rPr>
          <w:rFonts w:ascii="Arial" w:hAnsi="Arial" w:cs="Arial"/>
          <w:sz w:val="18"/>
          <w:szCs w:val="18"/>
        </w:rPr>
        <w:t>, 13</w:t>
      </w:r>
      <w:r>
        <w:rPr>
          <w:rFonts w:ascii="Arial" w:hAnsi="Arial" w:cs="Arial"/>
          <w:sz w:val="18"/>
          <w:szCs w:val="18"/>
        </w:rPr>
        <w:t xml:space="preserve"> </w:t>
      </w:r>
      <w:proofErr w:type="spellStart"/>
      <w:r>
        <w:rPr>
          <w:rFonts w:ascii="Arial" w:hAnsi="Arial" w:cs="Arial"/>
          <w:sz w:val="18"/>
          <w:szCs w:val="18"/>
        </w:rPr>
        <w:t>m</w:t>
      </w:r>
      <w:r w:rsidRPr="0052767A">
        <w:rPr>
          <w:rFonts w:ascii="Arial" w:hAnsi="Arial" w:cs="Arial"/>
          <w:sz w:val="18"/>
          <w:szCs w:val="18"/>
        </w:rPr>
        <w:t>ai</w:t>
      </w:r>
      <w:proofErr w:type="spellEnd"/>
      <w:r w:rsidRPr="0052767A">
        <w:rPr>
          <w:rFonts w:ascii="Arial" w:hAnsi="Arial" w:cs="Arial"/>
          <w:sz w:val="18"/>
          <w:szCs w:val="18"/>
        </w:rPr>
        <w:t xml:space="preserve"> 2005; </w:t>
      </w:r>
    </w:p>
    <w:p w:rsidR="003920DC" w:rsidRDefault="003920DC">
      <w:pPr>
        <w:pStyle w:val="Funotentext"/>
      </w:pPr>
      <w:r w:rsidRPr="0052767A">
        <w:rPr>
          <w:rFonts w:ascii="Arial" w:hAnsi="Arial" w:cs="Arial"/>
          <w:sz w:val="18"/>
          <w:szCs w:val="18"/>
        </w:rPr>
        <w:t xml:space="preserve"> </w:t>
      </w:r>
      <w:hyperlink r:id="rId2" w:history="1">
        <w:r w:rsidRPr="0052767A">
          <w:rPr>
            <w:rStyle w:val="Hyperlink"/>
            <w:rFonts w:ascii="Arial" w:hAnsi="Arial" w:cs="Arial"/>
            <w:sz w:val="18"/>
            <w:szCs w:val="18"/>
          </w:rPr>
          <w:t>http://www.zrk.ch/dms/dokument/dokument_datei_id_307_rnd6822.pdf</w:t>
        </w:r>
      </w:hyperlink>
      <w:r w:rsidRPr="0052767A">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8096F"/>
    <w:multiLevelType w:val="hybridMultilevel"/>
    <w:tmpl w:val="2B2A78A6"/>
    <w:lvl w:ilvl="0" w:tplc="A5A2CA2A">
      <w:start w:val="4"/>
      <w:numFmt w:val="lowerLetter"/>
      <w:lvlText w:val="%1)"/>
      <w:lvlJc w:val="left"/>
      <w:pPr>
        <w:ind w:left="36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nsid w:val="161425AA"/>
    <w:multiLevelType w:val="hybridMultilevel"/>
    <w:tmpl w:val="9692D85A"/>
    <w:lvl w:ilvl="0" w:tplc="AE1AD23E">
      <w:start w:val="1"/>
      <w:numFmt w:val="lowerLetter"/>
      <w:lvlText w:val="%1)"/>
      <w:lvlJc w:val="left"/>
      <w:pPr>
        <w:ind w:left="36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1A2"/>
    <w:rsid w:val="000635F1"/>
    <w:rsid w:val="000712DF"/>
    <w:rsid w:val="00095548"/>
    <w:rsid w:val="000C39D5"/>
    <w:rsid w:val="000D3404"/>
    <w:rsid w:val="000E25FD"/>
    <w:rsid w:val="000F1934"/>
    <w:rsid w:val="000F2B5B"/>
    <w:rsid w:val="00104BB6"/>
    <w:rsid w:val="001B14FF"/>
    <w:rsid w:val="001D40E0"/>
    <w:rsid w:val="001F29F9"/>
    <w:rsid w:val="002434AE"/>
    <w:rsid w:val="00246B0B"/>
    <w:rsid w:val="002512A7"/>
    <w:rsid w:val="002731B1"/>
    <w:rsid w:val="002A67DA"/>
    <w:rsid w:val="002F4E2B"/>
    <w:rsid w:val="002F7E1E"/>
    <w:rsid w:val="00331F19"/>
    <w:rsid w:val="00352CA0"/>
    <w:rsid w:val="003920DC"/>
    <w:rsid w:val="003A0AF6"/>
    <w:rsid w:val="003B2958"/>
    <w:rsid w:val="003B488C"/>
    <w:rsid w:val="003C673C"/>
    <w:rsid w:val="003F1D2D"/>
    <w:rsid w:val="004172A1"/>
    <w:rsid w:val="00422705"/>
    <w:rsid w:val="00422EE1"/>
    <w:rsid w:val="004A50BB"/>
    <w:rsid w:val="004C5E92"/>
    <w:rsid w:val="00500CD7"/>
    <w:rsid w:val="00504F09"/>
    <w:rsid w:val="0052767A"/>
    <w:rsid w:val="00543308"/>
    <w:rsid w:val="00551024"/>
    <w:rsid w:val="00551ECB"/>
    <w:rsid w:val="0057637A"/>
    <w:rsid w:val="0058123C"/>
    <w:rsid w:val="00583FED"/>
    <w:rsid w:val="005A4358"/>
    <w:rsid w:val="005B19AF"/>
    <w:rsid w:val="005C500C"/>
    <w:rsid w:val="005E35E0"/>
    <w:rsid w:val="005F6BE7"/>
    <w:rsid w:val="00635D49"/>
    <w:rsid w:val="0065657F"/>
    <w:rsid w:val="00661D05"/>
    <w:rsid w:val="00667AC5"/>
    <w:rsid w:val="006705EA"/>
    <w:rsid w:val="006972F7"/>
    <w:rsid w:val="006D0D98"/>
    <w:rsid w:val="006F2FD9"/>
    <w:rsid w:val="006F5B04"/>
    <w:rsid w:val="007157C3"/>
    <w:rsid w:val="00740BAD"/>
    <w:rsid w:val="007410DE"/>
    <w:rsid w:val="00767B40"/>
    <w:rsid w:val="007A72BC"/>
    <w:rsid w:val="007A7AA8"/>
    <w:rsid w:val="007B7CB6"/>
    <w:rsid w:val="00803CD9"/>
    <w:rsid w:val="008311BF"/>
    <w:rsid w:val="0085280B"/>
    <w:rsid w:val="008646D5"/>
    <w:rsid w:val="0087558A"/>
    <w:rsid w:val="00893312"/>
    <w:rsid w:val="0089365E"/>
    <w:rsid w:val="008B0F45"/>
    <w:rsid w:val="008B4E64"/>
    <w:rsid w:val="008C2EBD"/>
    <w:rsid w:val="008C38CE"/>
    <w:rsid w:val="008E3E66"/>
    <w:rsid w:val="0091750A"/>
    <w:rsid w:val="00922AA4"/>
    <w:rsid w:val="0093322D"/>
    <w:rsid w:val="009679C2"/>
    <w:rsid w:val="00984AE0"/>
    <w:rsid w:val="009C108C"/>
    <w:rsid w:val="00A45FC5"/>
    <w:rsid w:val="00A5547B"/>
    <w:rsid w:val="00A61CCE"/>
    <w:rsid w:val="00A6746C"/>
    <w:rsid w:val="00A74DD1"/>
    <w:rsid w:val="00A80CCB"/>
    <w:rsid w:val="00AA7F28"/>
    <w:rsid w:val="00AC6DD3"/>
    <w:rsid w:val="00AF1A22"/>
    <w:rsid w:val="00B05337"/>
    <w:rsid w:val="00B771A2"/>
    <w:rsid w:val="00B8226C"/>
    <w:rsid w:val="00BA2641"/>
    <w:rsid w:val="00BA6CDC"/>
    <w:rsid w:val="00BE1A3D"/>
    <w:rsid w:val="00BF59EE"/>
    <w:rsid w:val="00C2764A"/>
    <w:rsid w:val="00CC62EC"/>
    <w:rsid w:val="00D1695D"/>
    <w:rsid w:val="00D37797"/>
    <w:rsid w:val="00D753EA"/>
    <w:rsid w:val="00D7548E"/>
    <w:rsid w:val="00D849E9"/>
    <w:rsid w:val="00DB0762"/>
    <w:rsid w:val="00DE229B"/>
    <w:rsid w:val="00E4618C"/>
    <w:rsid w:val="00E754F3"/>
    <w:rsid w:val="00E83AEA"/>
    <w:rsid w:val="00E8569C"/>
    <w:rsid w:val="00EB0742"/>
    <w:rsid w:val="00EE6986"/>
    <w:rsid w:val="00EF703E"/>
    <w:rsid w:val="00F5663B"/>
    <w:rsid w:val="00F601D4"/>
    <w:rsid w:val="00FA2254"/>
    <w:rsid w:val="00FC3C19"/>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1F4ABA-8E89-4FDB-BEF8-C187F5E5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641"/>
    <w:pPr>
      <w:spacing w:after="160" w:line="259"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B771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5B19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19AF"/>
    <w:rPr>
      <w:sz w:val="20"/>
      <w:szCs w:val="20"/>
    </w:rPr>
  </w:style>
  <w:style w:type="character" w:styleId="Funotenzeichen">
    <w:name w:val="footnote reference"/>
    <w:basedOn w:val="Absatz-Standardschriftart"/>
    <w:uiPriority w:val="99"/>
    <w:semiHidden/>
    <w:rsid w:val="005B19AF"/>
    <w:rPr>
      <w:vertAlign w:val="superscript"/>
    </w:rPr>
  </w:style>
  <w:style w:type="character" w:styleId="Hyperlink">
    <w:name w:val="Hyperlink"/>
    <w:basedOn w:val="Absatz-Standardschriftart"/>
    <w:uiPriority w:val="99"/>
    <w:rsid w:val="005B19AF"/>
    <w:rPr>
      <w:color w:val="0563C1"/>
      <w:u w:val="single"/>
    </w:rPr>
  </w:style>
  <w:style w:type="character" w:styleId="Kommentarzeichen">
    <w:name w:val="annotation reference"/>
    <w:basedOn w:val="Absatz-Standardschriftart"/>
    <w:uiPriority w:val="99"/>
    <w:semiHidden/>
    <w:rsid w:val="009C108C"/>
    <w:rPr>
      <w:sz w:val="16"/>
      <w:szCs w:val="16"/>
    </w:rPr>
  </w:style>
  <w:style w:type="paragraph" w:styleId="Kommentartext">
    <w:name w:val="annotation text"/>
    <w:basedOn w:val="Standard"/>
    <w:link w:val="KommentartextZchn"/>
    <w:uiPriority w:val="99"/>
    <w:semiHidden/>
    <w:rsid w:val="009C10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08C"/>
    <w:rPr>
      <w:sz w:val="20"/>
      <w:szCs w:val="20"/>
    </w:rPr>
  </w:style>
  <w:style w:type="paragraph" w:styleId="Kommentarthema">
    <w:name w:val="annotation subject"/>
    <w:basedOn w:val="Kommentartext"/>
    <w:next w:val="Kommentartext"/>
    <w:link w:val="KommentarthemaZchn"/>
    <w:uiPriority w:val="99"/>
    <w:semiHidden/>
    <w:rsid w:val="009C108C"/>
    <w:rPr>
      <w:b/>
      <w:bCs/>
    </w:rPr>
  </w:style>
  <w:style w:type="character" w:customStyle="1" w:styleId="KommentarthemaZchn">
    <w:name w:val="Kommentarthema Zchn"/>
    <w:basedOn w:val="KommentartextZchn"/>
    <w:link w:val="Kommentarthema"/>
    <w:uiPriority w:val="99"/>
    <w:semiHidden/>
    <w:rsid w:val="009C108C"/>
    <w:rPr>
      <w:b/>
      <w:bCs/>
      <w:sz w:val="20"/>
      <w:szCs w:val="20"/>
    </w:rPr>
  </w:style>
  <w:style w:type="paragraph" w:styleId="Sprechblasentext">
    <w:name w:val="Balloon Text"/>
    <w:basedOn w:val="Standard"/>
    <w:link w:val="SprechblasentextZchn"/>
    <w:uiPriority w:val="99"/>
    <w:semiHidden/>
    <w:rsid w:val="009C10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08C"/>
    <w:rPr>
      <w:rFonts w:ascii="Segoe UI" w:hAnsi="Segoe UI" w:cs="Segoe UI"/>
      <w:sz w:val="18"/>
      <w:szCs w:val="18"/>
    </w:rPr>
  </w:style>
  <w:style w:type="paragraph" w:styleId="Dokumentstruktur">
    <w:name w:val="Document Map"/>
    <w:basedOn w:val="Standard"/>
    <w:link w:val="DokumentstrukturZchn"/>
    <w:uiPriority w:val="99"/>
    <w:semiHidden/>
    <w:rsid w:val="00D7548E"/>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635D49"/>
    <w:rPr>
      <w:rFonts w:ascii="Times New Roman" w:hAnsi="Times New Roman" w:cs="Times New Roman"/>
      <w:sz w:val="2"/>
      <w:szCs w:val="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8302">
      <w:marLeft w:val="0"/>
      <w:marRight w:val="0"/>
      <w:marTop w:val="0"/>
      <w:marBottom w:val="0"/>
      <w:divBdr>
        <w:top w:val="none" w:sz="0" w:space="0" w:color="auto"/>
        <w:left w:val="none" w:sz="0" w:space="0" w:color="auto"/>
        <w:bottom w:val="none" w:sz="0" w:space="0" w:color="auto"/>
        <w:right w:val="none" w:sz="0" w:space="0" w:color="auto"/>
      </w:divBdr>
      <w:divsChild>
        <w:div w:id="1090858289">
          <w:marLeft w:val="0"/>
          <w:marRight w:val="0"/>
          <w:marTop w:val="0"/>
          <w:marBottom w:val="0"/>
          <w:divBdr>
            <w:top w:val="none" w:sz="0" w:space="0" w:color="auto"/>
            <w:left w:val="none" w:sz="0" w:space="0" w:color="auto"/>
            <w:bottom w:val="none" w:sz="0" w:space="0" w:color="auto"/>
            <w:right w:val="none" w:sz="0" w:space="0" w:color="auto"/>
          </w:divBdr>
          <w:divsChild>
            <w:div w:id="1090858317">
              <w:marLeft w:val="0"/>
              <w:marRight w:val="0"/>
              <w:marTop w:val="0"/>
              <w:marBottom w:val="0"/>
              <w:divBdr>
                <w:top w:val="none" w:sz="0" w:space="0" w:color="auto"/>
                <w:left w:val="none" w:sz="0" w:space="0" w:color="auto"/>
                <w:bottom w:val="none" w:sz="0" w:space="0" w:color="auto"/>
                <w:right w:val="none" w:sz="0" w:space="0" w:color="auto"/>
              </w:divBdr>
              <w:divsChild>
                <w:div w:id="1090858281">
                  <w:marLeft w:val="0"/>
                  <w:marRight w:val="0"/>
                  <w:marTop w:val="0"/>
                  <w:marBottom w:val="0"/>
                  <w:divBdr>
                    <w:top w:val="none" w:sz="0" w:space="0" w:color="auto"/>
                    <w:left w:val="none" w:sz="0" w:space="0" w:color="auto"/>
                    <w:bottom w:val="none" w:sz="0" w:space="0" w:color="auto"/>
                    <w:right w:val="none" w:sz="0" w:space="0" w:color="auto"/>
                  </w:divBdr>
                </w:div>
                <w:div w:id="1090858282">
                  <w:marLeft w:val="0"/>
                  <w:marRight w:val="0"/>
                  <w:marTop w:val="0"/>
                  <w:marBottom w:val="0"/>
                  <w:divBdr>
                    <w:top w:val="none" w:sz="0" w:space="0" w:color="auto"/>
                    <w:left w:val="none" w:sz="0" w:space="0" w:color="auto"/>
                    <w:bottom w:val="none" w:sz="0" w:space="0" w:color="auto"/>
                    <w:right w:val="none" w:sz="0" w:space="0" w:color="auto"/>
                  </w:divBdr>
                </w:div>
                <w:div w:id="1090858283">
                  <w:marLeft w:val="0"/>
                  <w:marRight w:val="0"/>
                  <w:marTop w:val="0"/>
                  <w:marBottom w:val="0"/>
                  <w:divBdr>
                    <w:top w:val="none" w:sz="0" w:space="0" w:color="auto"/>
                    <w:left w:val="none" w:sz="0" w:space="0" w:color="auto"/>
                    <w:bottom w:val="none" w:sz="0" w:space="0" w:color="auto"/>
                    <w:right w:val="none" w:sz="0" w:space="0" w:color="auto"/>
                  </w:divBdr>
                </w:div>
                <w:div w:id="1090858284">
                  <w:marLeft w:val="0"/>
                  <w:marRight w:val="0"/>
                  <w:marTop w:val="0"/>
                  <w:marBottom w:val="0"/>
                  <w:divBdr>
                    <w:top w:val="none" w:sz="0" w:space="0" w:color="auto"/>
                    <w:left w:val="none" w:sz="0" w:space="0" w:color="auto"/>
                    <w:bottom w:val="none" w:sz="0" w:space="0" w:color="auto"/>
                    <w:right w:val="none" w:sz="0" w:space="0" w:color="auto"/>
                  </w:divBdr>
                </w:div>
                <w:div w:id="1090858287">
                  <w:marLeft w:val="0"/>
                  <w:marRight w:val="0"/>
                  <w:marTop w:val="0"/>
                  <w:marBottom w:val="0"/>
                  <w:divBdr>
                    <w:top w:val="none" w:sz="0" w:space="0" w:color="auto"/>
                    <w:left w:val="none" w:sz="0" w:space="0" w:color="auto"/>
                    <w:bottom w:val="none" w:sz="0" w:space="0" w:color="auto"/>
                    <w:right w:val="none" w:sz="0" w:space="0" w:color="auto"/>
                  </w:divBdr>
                </w:div>
                <w:div w:id="1090858291">
                  <w:marLeft w:val="0"/>
                  <w:marRight w:val="0"/>
                  <w:marTop w:val="0"/>
                  <w:marBottom w:val="0"/>
                  <w:divBdr>
                    <w:top w:val="none" w:sz="0" w:space="0" w:color="auto"/>
                    <w:left w:val="none" w:sz="0" w:space="0" w:color="auto"/>
                    <w:bottom w:val="none" w:sz="0" w:space="0" w:color="auto"/>
                    <w:right w:val="none" w:sz="0" w:space="0" w:color="auto"/>
                  </w:divBdr>
                </w:div>
                <w:div w:id="1090858292">
                  <w:marLeft w:val="0"/>
                  <w:marRight w:val="0"/>
                  <w:marTop w:val="0"/>
                  <w:marBottom w:val="0"/>
                  <w:divBdr>
                    <w:top w:val="none" w:sz="0" w:space="0" w:color="auto"/>
                    <w:left w:val="none" w:sz="0" w:space="0" w:color="auto"/>
                    <w:bottom w:val="none" w:sz="0" w:space="0" w:color="auto"/>
                    <w:right w:val="none" w:sz="0" w:space="0" w:color="auto"/>
                  </w:divBdr>
                </w:div>
                <w:div w:id="1090858296">
                  <w:marLeft w:val="0"/>
                  <w:marRight w:val="0"/>
                  <w:marTop w:val="0"/>
                  <w:marBottom w:val="0"/>
                  <w:divBdr>
                    <w:top w:val="none" w:sz="0" w:space="0" w:color="auto"/>
                    <w:left w:val="none" w:sz="0" w:space="0" w:color="auto"/>
                    <w:bottom w:val="none" w:sz="0" w:space="0" w:color="auto"/>
                    <w:right w:val="none" w:sz="0" w:space="0" w:color="auto"/>
                  </w:divBdr>
                </w:div>
                <w:div w:id="1090858299">
                  <w:marLeft w:val="0"/>
                  <w:marRight w:val="0"/>
                  <w:marTop w:val="0"/>
                  <w:marBottom w:val="0"/>
                  <w:divBdr>
                    <w:top w:val="none" w:sz="0" w:space="0" w:color="auto"/>
                    <w:left w:val="none" w:sz="0" w:space="0" w:color="auto"/>
                    <w:bottom w:val="none" w:sz="0" w:space="0" w:color="auto"/>
                    <w:right w:val="none" w:sz="0" w:space="0" w:color="auto"/>
                  </w:divBdr>
                </w:div>
                <w:div w:id="1090858304">
                  <w:marLeft w:val="0"/>
                  <w:marRight w:val="0"/>
                  <w:marTop w:val="0"/>
                  <w:marBottom w:val="0"/>
                  <w:divBdr>
                    <w:top w:val="none" w:sz="0" w:space="0" w:color="auto"/>
                    <w:left w:val="none" w:sz="0" w:space="0" w:color="auto"/>
                    <w:bottom w:val="none" w:sz="0" w:space="0" w:color="auto"/>
                    <w:right w:val="none" w:sz="0" w:space="0" w:color="auto"/>
                  </w:divBdr>
                </w:div>
                <w:div w:id="1090858305">
                  <w:marLeft w:val="0"/>
                  <w:marRight w:val="0"/>
                  <w:marTop w:val="0"/>
                  <w:marBottom w:val="0"/>
                  <w:divBdr>
                    <w:top w:val="none" w:sz="0" w:space="0" w:color="auto"/>
                    <w:left w:val="none" w:sz="0" w:space="0" w:color="auto"/>
                    <w:bottom w:val="none" w:sz="0" w:space="0" w:color="auto"/>
                    <w:right w:val="none" w:sz="0" w:space="0" w:color="auto"/>
                  </w:divBdr>
                </w:div>
                <w:div w:id="1090858313">
                  <w:marLeft w:val="0"/>
                  <w:marRight w:val="0"/>
                  <w:marTop w:val="0"/>
                  <w:marBottom w:val="0"/>
                  <w:divBdr>
                    <w:top w:val="none" w:sz="0" w:space="0" w:color="auto"/>
                    <w:left w:val="none" w:sz="0" w:space="0" w:color="auto"/>
                    <w:bottom w:val="none" w:sz="0" w:space="0" w:color="auto"/>
                    <w:right w:val="none" w:sz="0" w:space="0" w:color="auto"/>
                  </w:divBdr>
                </w:div>
                <w:div w:id="109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8318">
          <w:marLeft w:val="0"/>
          <w:marRight w:val="0"/>
          <w:marTop w:val="0"/>
          <w:marBottom w:val="0"/>
          <w:divBdr>
            <w:top w:val="none" w:sz="0" w:space="0" w:color="auto"/>
            <w:left w:val="none" w:sz="0" w:space="0" w:color="auto"/>
            <w:bottom w:val="none" w:sz="0" w:space="0" w:color="auto"/>
            <w:right w:val="none" w:sz="0" w:space="0" w:color="auto"/>
          </w:divBdr>
          <w:divsChild>
            <w:div w:id="1090858275">
              <w:marLeft w:val="0"/>
              <w:marRight w:val="0"/>
              <w:marTop w:val="0"/>
              <w:marBottom w:val="0"/>
              <w:divBdr>
                <w:top w:val="none" w:sz="0" w:space="0" w:color="auto"/>
                <w:left w:val="none" w:sz="0" w:space="0" w:color="auto"/>
                <w:bottom w:val="none" w:sz="0" w:space="0" w:color="auto"/>
                <w:right w:val="none" w:sz="0" w:space="0" w:color="auto"/>
              </w:divBdr>
              <w:divsChild>
                <w:div w:id="1090858274">
                  <w:marLeft w:val="0"/>
                  <w:marRight w:val="0"/>
                  <w:marTop w:val="0"/>
                  <w:marBottom w:val="0"/>
                  <w:divBdr>
                    <w:top w:val="none" w:sz="0" w:space="0" w:color="auto"/>
                    <w:left w:val="none" w:sz="0" w:space="0" w:color="auto"/>
                    <w:bottom w:val="none" w:sz="0" w:space="0" w:color="auto"/>
                    <w:right w:val="none" w:sz="0" w:space="0" w:color="auto"/>
                  </w:divBdr>
                </w:div>
                <w:div w:id="1090858276">
                  <w:marLeft w:val="0"/>
                  <w:marRight w:val="0"/>
                  <w:marTop w:val="0"/>
                  <w:marBottom w:val="0"/>
                  <w:divBdr>
                    <w:top w:val="none" w:sz="0" w:space="0" w:color="auto"/>
                    <w:left w:val="none" w:sz="0" w:space="0" w:color="auto"/>
                    <w:bottom w:val="none" w:sz="0" w:space="0" w:color="auto"/>
                    <w:right w:val="none" w:sz="0" w:space="0" w:color="auto"/>
                  </w:divBdr>
                </w:div>
                <w:div w:id="1090858277">
                  <w:marLeft w:val="0"/>
                  <w:marRight w:val="0"/>
                  <w:marTop w:val="0"/>
                  <w:marBottom w:val="0"/>
                  <w:divBdr>
                    <w:top w:val="none" w:sz="0" w:space="0" w:color="auto"/>
                    <w:left w:val="none" w:sz="0" w:space="0" w:color="auto"/>
                    <w:bottom w:val="none" w:sz="0" w:space="0" w:color="auto"/>
                    <w:right w:val="none" w:sz="0" w:space="0" w:color="auto"/>
                  </w:divBdr>
                </w:div>
                <w:div w:id="1090858278">
                  <w:marLeft w:val="0"/>
                  <w:marRight w:val="0"/>
                  <w:marTop w:val="0"/>
                  <w:marBottom w:val="0"/>
                  <w:divBdr>
                    <w:top w:val="none" w:sz="0" w:space="0" w:color="auto"/>
                    <w:left w:val="none" w:sz="0" w:space="0" w:color="auto"/>
                    <w:bottom w:val="none" w:sz="0" w:space="0" w:color="auto"/>
                    <w:right w:val="none" w:sz="0" w:space="0" w:color="auto"/>
                  </w:divBdr>
                </w:div>
                <w:div w:id="1090858279">
                  <w:marLeft w:val="0"/>
                  <w:marRight w:val="0"/>
                  <w:marTop w:val="0"/>
                  <w:marBottom w:val="0"/>
                  <w:divBdr>
                    <w:top w:val="none" w:sz="0" w:space="0" w:color="auto"/>
                    <w:left w:val="none" w:sz="0" w:space="0" w:color="auto"/>
                    <w:bottom w:val="none" w:sz="0" w:space="0" w:color="auto"/>
                    <w:right w:val="none" w:sz="0" w:space="0" w:color="auto"/>
                  </w:divBdr>
                </w:div>
                <w:div w:id="1090858280">
                  <w:marLeft w:val="0"/>
                  <w:marRight w:val="0"/>
                  <w:marTop w:val="0"/>
                  <w:marBottom w:val="0"/>
                  <w:divBdr>
                    <w:top w:val="none" w:sz="0" w:space="0" w:color="auto"/>
                    <w:left w:val="none" w:sz="0" w:space="0" w:color="auto"/>
                    <w:bottom w:val="none" w:sz="0" w:space="0" w:color="auto"/>
                    <w:right w:val="none" w:sz="0" w:space="0" w:color="auto"/>
                  </w:divBdr>
                </w:div>
                <w:div w:id="1090858286">
                  <w:marLeft w:val="0"/>
                  <w:marRight w:val="0"/>
                  <w:marTop w:val="0"/>
                  <w:marBottom w:val="0"/>
                  <w:divBdr>
                    <w:top w:val="none" w:sz="0" w:space="0" w:color="auto"/>
                    <w:left w:val="none" w:sz="0" w:space="0" w:color="auto"/>
                    <w:bottom w:val="none" w:sz="0" w:space="0" w:color="auto"/>
                    <w:right w:val="none" w:sz="0" w:space="0" w:color="auto"/>
                  </w:divBdr>
                </w:div>
                <w:div w:id="1090858288">
                  <w:marLeft w:val="0"/>
                  <w:marRight w:val="0"/>
                  <w:marTop w:val="0"/>
                  <w:marBottom w:val="0"/>
                  <w:divBdr>
                    <w:top w:val="none" w:sz="0" w:space="0" w:color="auto"/>
                    <w:left w:val="none" w:sz="0" w:space="0" w:color="auto"/>
                    <w:bottom w:val="none" w:sz="0" w:space="0" w:color="auto"/>
                    <w:right w:val="none" w:sz="0" w:space="0" w:color="auto"/>
                  </w:divBdr>
                </w:div>
                <w:div w:id="1090858290">
                  <w:marLeft w:val="0"/>
                  <w:marRight w:val="0"/>
                  <w:marTop w:val="0"/>
                  <w:marBottom w:val="0"/>
                  <w:divBdr>
                    <w:top w:val="none" w:sz="0" w:space="0" w:color="auto"/>
                    <w:left w:val="none" w:sz="0" w:space="0" w:color="auto"/>
                    <w:bottom w:val="none" w:sz="0" w:space="0" w:color="auto"/>
                    <w:right w:val="none" w:sz="0" w:space="0" w:color="auto"/>
                  </w:divBdr>
                </w:div>
                <w:div w:id="1090858293">
                  <w:marLeft w:val="0"/>
                  <w:marRight w:val="0"/>
                  <w:marTop w:val="0"/>
                  <w:marBottom w:val="0"/>
                  <w:divBdr>
                    <w:top w:val="none" w:sz="0" w:space="0" w:color="auto"/>
                    <w:left w:val="none" w:sz="0" w:space="0" w:color="auto"/>
                    <w:bottom w:val="none" w:sz="0" w:space="0" w:color="auto"/>
                    <w:right w:val="none" w:sz="0" w:space="0" w:color="auto"/>
                  </w:divBdr>
                </w:div>
                <w:div w:id="1090858294">
                  <w:marLeft w:val="0"/>
                  <w:marRight w:val="0"/>
                  <w:marTop w:val="0"/>
                  <w:marBottom w:val="0"/>
                  <w:divBdr>
                    <w:top w:val="none" w:sz="0" w:space="0" w:color="auto"/>
                    <w:left w:val="none" w:sz="0" w:space="0" w:color="auto"/>
                    <w:bottom w:val="none" w:sz="0" w:space="0" w:color="auto"/>
                    <w:right w:val="none" w:sz="0" w:space="0" w:color="auto"/>
                  </w:divBdr>
                </w:div>
                <w:div w:id="1090858297">
                  <w:marLeft w:val="0"/>
                  <w:marRight w:val="0"/>
                  <w:marTop w:val="0"/>
                  <w:marBottom w:val="0"/>
                  <w:divBdr>
                    <w:top w:val="none" w:sz="0" w:space="0" w:color="auto"/>
                    <w:left w:val="none" w:sz="0" w:space="0" w:color="auto"/>
                    <w:bottom w:val="none" w:sz="0" w:space="0" w:color="auto"/>
                    <w:right w:val="none" w:sz="0" w:space="0" w:color="auto"/>
                  </w:divBdr>
                </w:div>
                <w:div w:id="1090858298">
                  <w:marLeft w:val="0"/>
                  <w:marRight w:val="0"/>
                  <w:marTop w:val="0"/>
                  <w:marBottom w:val="0"/>
                  <w:divBdr>
                    <w:top w:val="none" w:sz="0" w:space="0" w:color="auto"/>
                    <w:left w:val="none" w:sz="0" w:space="0" w:color="auto"/>
                    <w:bottom w:val="none" w:sz="0" w:space="0" w:color="auto"/>
                    <w:right w:val="none" w:sz="0" w:space="0" w:color="auto"/>
                  </w:divBdr>
                </w:div>
                <w:div w:id="1090858300">
                  <w:marLeft w:val="0"/>
                  <w:marRight w:val="0"/>
                  <w:marTop w:val="0"/>
                  <w:marBottom w:val="0"/>
                  <w:divBdr>
                    <w:top w:val="none" w:sz="0" w:space="0" w:color="auto"/>
                    <w:left w:val="none" w:sz="0" w:space="0" w:color="auto"/>
                    <w:bottom w:val="none" w:sz="0" w:space="0" w:color="auto"/>
                    <w:right w:val="none" w:sz="0" w:space="0" w:color="auto"/>
                  </w:divBdr>
                </w:div>
                <w:div w:id="1090858301">
                  <w:marLeft w:val="0"/>
                  <w:marRight w:val="0"/>
                  <w:marTop w:val="0"/>
                  <w:marBottom w:val="0"/>
                  <w:divBdr>
                    <w:top w:val="none" w:sz="0" w:space="0" w:color="auto"/>
                    <w:left w:val="none" w:sz="0" w:space="0" w:color="auto"/>
                    <w:bottom w:val="none" w:sz="0" w:space="0" w:color="auto"/>
                    <w:right w:val="none" w:sz="0" w:space="0" w:color="auto"/>
                  </w:divBdr>
                </w:div>
                <w:div w:id="1090858303">
                  <w:marLeft w:val="0"/>
                  <w:marRight w:val="0"/>
                  <w:marTop w:val="0"/>
                  <w:marBottom w:val="0"/>
                  <w:divBdr>
                    <w:top w:val="none" w:sz="0" w:space="0" w:color="auto"/>
                    <w:left w:val="none" w:sz="0" w:space="0" w:color="auto"/>
                    <w:bottom w:val="none" w:sz="0" w:space="0" w:color="auto"/>
                    <w:right w:val="none" w:sz="0" w:space="0" w:color="auto"/>
                  </w:divBdr>
                </w:div>
                <w:div w:id="1090858306">
                  <w:marLeft w:val="0"/>
                  <w:marRight w:val="0"/>
                  <w:marTop w:val="0"/>
                  <w:marBottom w:val="0"/>
                  <w:divBdr>
                    <w:top w:val="none" w:sz="0" w:space="0" w:color="auto"/>
                    <w:left w:val="none" w:sz="0" w:space="0" w:color="auto"/>
                    <w:bottom w:val="none" w:sz="0" w:space="0" w:color="auto"/>
                    <w:right w:val="none" w:sz="0" w:space="0" w:color="auto"/>
                  </w:divBdr>
                </w:div>
                <w:div w:id="1090858307">
                  <w:marLeft w:val="0"/>
                  <w:marRight w:val="0"/>
                  <w:marTop w:val="0"/>
                  <w:marBottom w:val="0"/>
                  <w:divBdr>
                    <w:top w:val="none" w:sz="0" w:space="0" w:color="auto"/>
                    <w:left w:val="none" w:sz="0" w:space="0" w:color="auto"/>
                    <w:bottom w:val="none" w:sz="0" w:space="0" w:color="auto"/>
                    <w:right w:val="none" w:sz="0" w:space="0" w:color="auto"/>
                  </w:divBdr>
                </w:div>
                <w:div w:id="1090858309">
                  <w:marLeft w:val="0"/>
                  <w:marRight w:val="0"/>
                  <w:marTop w:val="0"/>
                  <w:marBottom w:val="0"/>
                  <w:divBdr>
                    <w:top w:val="none" w:sz="0" w:space="0" w:color="auto"/>
                    <w:left w:val="none" w:sz="0" w:space="0" w:color="auto"/>
                    <w:bottom w:val="none" w:sz="0" w:space="0" w:color="auto"/>
                    <w:right w:val="none" w:sz="0" w:space="0" w:color="auto"/>
                  </w:divBdr>
                </w:div>
                <w:div w:id="1090858310">
                  <w:marLeft w:val="0"/>
                  <w:marRight w:val="0"/>
                  <w:marTop w:val="0"/>
                  <w:marBottom w:val="0"/>
                  <w:divBdr>
                    <w:top w:val="none" w:sz="0" w:space="0" w:color="auto"/>
                    <w:left w:val="none" w:sz="0" w:space="0" w:color="auto"/>
                    <w:bottom w:val="none" w:sz="0" w:space="0" w:color="auto"/>
                    <w:right w:val="none" w:sz="0" w:space="0" w:color="auto"/>
                  </w:divBdr>
                </w:div>
                <w:div w:id="1090858311">
                  <w:marLeft w:val="0"/>
                  <w:marRight w:val="0"/>
                  <w:marTop w:val="0"/>
                  <w:marBottom w:val="0"/>
                  <w:divBdr>
                    <w:top w:val="none" w:sz="0" w:space="0" w:color="auto"/>
                    <w:left w:val="none" w:sz="0" w:space="0" w:color="auto"/>
                    <w:bottom w:val="none" w:sz="0" w:space="0" w:color="auto"/>
                    <w:right w:val="none" w:sz="0" w:space="0" w:color="auto"/>
                  </w:divBdr>
                </w:div>
                <w:div w:id="1090858312">
                  <w:marLeft w:val="0"/>
                  <w:marRight w:val="0"/>
                  <w:marTop w:val="0"/>
                  <w:marBottom w:val="0"/>
                  <w:divBdr>
                    <w:top w:val="none" w:sz="0" w:space="0" w:color="auto"/>
                    <w:left w:val="none" w:sz="0" w:space="0" w:color="auto"/>
                    <w:bottom w:val="none" w:sz="0" w:space="0" w:color="auto"/>
                    <w:right w:val="none" w:sz="0" w:space="0" w:color="auto"/>
                  </w:divBdr>
                </w:div>
                <w:div w:id="1090858315">
                  <w:marLeft w:val="0"/>
                  <w:marRight w:val="0"/>
                  <w:marTop w:val="0"/>
                  <w:marBottom w:val="0"/>
                  <w:divBdr>
                    <w:top w:val="none" w:sz="0" w:space="0" w:color="auto"/>
                    <w:left w:val="none" w:sz="0" w:space="0" w:color="auto"/>
                    <w:bottom w:val="none" w:sz="0" w:space="0" w:color="auto"/>
                    <w:right w:val="none" w:sz="0" w:space="0" w:color="auto"/>
                  </w:divBdr>
                </w:div>
                <w:div w:id="10908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8308">
      <w:marLeft w:val="0"/>
      <w:marRight w:val="0"/>
      <w:marTop w:val="0"/>
      <w:marBottom w:val="0"/>
      <w:divBdr>
        <w:top w:val="none" w:sz="0" w:space="0" w:color="auto"/>
        <w:left w:val="none" w:sz="0" w:space="0" w:color="auto"/>
        <w:bottom w:val="none" w:sz="0" w:space="0" w:color="auto"/>
        <w:right w:val="none" w:sz="0" w:space="0" w:color="auto"/>
      </w:divBdr>
      <w:divsChild>
        <w:div w:id="1090858285">
          <w:marLeft w:val="0"/>
          <w:marRight w:val="0"/>
          <w:marTop w:val="0"/>
          <w:marBottom w:val="0"/>
          <w:divBdr>
            <w:top w:val="none" w:sz="0" w:space="0" w:color="auto"/>
            <w:left w:val="none" w:sz="0" w:space="0" w:color="auto"/>
            <w:bottom w:val="none" w:sz="0" w:space="0" w:color="auto"/>
            <w:right w:val="none" w:sz="0" w:space="0" w:color="auto"/>
          </w:divBdr>
        </w:div>
        <w:div w:id="1090858295">
          <w:marLeft w:val="0"/>
          <w:marRight w:val="0"/>
          <w:marTop w:val="0"/>
          <w:marBottom w:val="0"/>
          <w:divBdr>
            <w:top w:val="none" w:sz="0" w:space="0" w:color="auto"/>
            <w:left w:val="none" w:sz="0" w:space="0" w:color="auto"/>
            <w:bottom w:val="none" w:sz="0" w:space="0" w:color="auto"/>
            <w:right w:val="none" w:sz="0" w:space="0" w:color="auto"/>
          </w:divBdr>
        </w:div>
        <w:div w:id="109085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zrk.ch/dms/dokument/dokument_datei_id_307_rnd6822.pdf" TargetMode="External"/><Relationship Id="rId1" Type="http://schemas.openxmlformats.org/officeDocument/2006/relationships/hyperlink" Target="http://www.edk.ch/dyn/214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6262</Characters>
  <Application>Microsoft Office Word</Application>
  <DocSecurity>0</DocSecurity>
  <Lines>52</Lines>
  <Paragraphs>14</Paragraphs>
  <ScaleCrop>false</ScaleCrop>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décisions financières lourdes de conséquences seront prises en 2014 werden folgenschwere Finanzentscheidungen getroffen</dc:title>
  <dc:subject/>
  <dc:creator>Bruno Weber</dc:creator>
  <cp:keywords/>
  <dc:description/>
  <cp:lastModifiedBy>Linda Rosenkranz</cp:lastModifiedBy>
  <cp:revision>14</cp:revision>
  <cp:lastPrinted>2013-11-25T13:51:00Z</cp:lastPrinted>
  <dcterms:created xsi:type="dcterms:W3CDTF">2013-11-26T18:19:00Z</dcterms:created>
  <dcterms:modified xsi:type="dcterms:W3CDTF">2013-12-02T12:22:00Z</dcterms:modified>
</cp:coreProperties>
</file>